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tabs>
          <w:tab w:val="center" w:pos="4680"/>
          <w:tab w:val="right" w:pos="9360"/>
        </w:tabs>
        <w:spacing w:before="1600" w:line="360" w:lineRule="auto"/>
        <w:jc w:val="center"/>
        <w:rPr>
          <w:rFonts w:ascii="Roboto" w:cs="Roboto" w:eastAsia="Roboto" w:hAnsi="Roboto"/>
          <w:b w:val="1"/>
          <w:color w:val="000000"/>
          <w:sz w:val="22"/>
          <w:szCs w:val="22"/>
        </w:rPr>
      </w:pPr>
      <w:r w:rsidDel="00000000" w:rsidR="00000000" w:rsidRPr="00000000">
        <w:rPr>
          <w:rFonts w:ascii="Roboto" w:cs="Roboto" w:eastAsia="Roboto" w:hAnsi="Roboto"/>
          <w:b w:val="1"/>
          <w:color w:val="000000"/>
          <w:sz w:val="22"/>
          <w:szCs w:val="22"/>
          <w:rtl w:val="0"/>
        </w:rPr>
        <w:t xml:space="preserve">RESOLUTION</w:t>
      </w:r>
    </w:p>
    <w:p w:rsidR="00000000" w:rsidDel="00000000" w:rsidP="00000000" w:rsidRDefault="00000000" w:rsidRPr="00000000" w14:paraId="00000002">
      <w:pPr>
        <w:spacing w:line="360" w:lineRule="auto"/>
        <w:jc w:val="center"/>
        <w:rPr>
          <w:rFonts w:ascii="Roboto" w:cs="Roboto" w:eastAsia="Roboto" w:hAnsi="Roboto"/>
          <w:smallCaps w:val="1"/>
          <w:color w:val="000000"/>
          <w:sz w:val="20"/>
          <w:szCs w:val="20"/>
        </w:rPr>
      </w:pPr>
      <w:r w:rsidDel="00000000" w:rsidR="00000000" w:rsidRPr="00000000">
        <w:rPr>
          <w:rFonts w:ascii="Roboto" w:cs="Roboto" w:eastAsia="Roboto" w:hAnsi="Roboto"/>
          <w:smallCaps w:val="1"/>
          <w:color w:val="000000"/>
          <w:sz w:val="20"/>
          <w:szCs w:val="20"/>
          <w:rtl w:val="0"/>
        </w:rPr>
        <w:t xml:space="preserve">CONDEMNING ALL HATE</w:t>
      </w:r>
    </w:p>
    <w:p w:rsidR="00000000" w:rsidDel="00000000" w:rsidP="00000000" w:rsidRDefault="00000000" w:rsidRPr="00000000" w14:paraId="00000003">
      <w:pPr>
        <w:spacing w:line="360" w:lineRule="auto"/>
        <w:jc w:val="center"/>
        <w:rPr>
          <w:rFonts w:ascii="Roboto" w:cs="Roboto" w:eastAsia="Roboto" w:hAnsi="Roboto"/>
          <w:smallCaps w:val="1"/>
          <w:color w:val="000000"/>
          <w:sz w:val="20"/>
          <w:szCs w:val="20"/>
        </w:rPr>
      </w:pPr>
      <w:r w:rsidDel="00000000" w:rsidR="00000000" w:rsidRPr="00000000">
        <w:rPr>
          <w:rFonts w:ascii="Roboto" w:cs="Roboto" w:eastAsia="Roboto" w:hAnsi="Roboto"/>
          <w:smallCaps w:val="1"/>
          <w:color w:val="000000"/>
          <w:sz w:val="20"/>
          <w:szCs w:val="20"/>
          <w:rtl w:val="0"/>
        </w:rPr>
        <w:t xml:space="preserve">AGAINST ASIAN AMERICAN AND PACIFIC ISLANDER (</w:t>
      </w:r>
      <w:r w:rsidDel="00000000" w:rsidR="00000000" w:rsidRPr="00000000">
        <w:rPr>
          <w:rFonts w:ascii="Roboto" w:cs="Roboto" w:eastAsia="Roboto" w:hAnsi="Roboto"/>
          <w:b w:val="1"/>
          <w:smallCaps w:val="1"/>
          <w:color w:val="ffcc00"/>
          <w:sz w:val="20"/>
          <w:szCs w:val="20"/>
          <w:rtl w:val="0"/>
        </w:rPr>
        <w:t xml:space="preserve">AAPI</w:t>
      </w:r>
      <w:r w:rsidDel="00000000" w:rsidR="00000000" w:rsidRPr="00000000">
        <w:rPr>
          <w:rFonts w:ascii="Roboto" w:cs="Roboto" w:eastAsia="Roboto" w:hAnsi="Roboto"/>
          <w:smallCaps w:val="1"/>
          <w:color w:val="000000"/>
          <w:sz w:val="20"/>
          <w:szCs w:val="20"/>
          <w:rtl w:val="0"/>
        </w:rPr>
        <w:t xml:space="preserve">)</w:t>
      </w:r>
    </w:p>
    <w:p w:rsidR="00000000" w:rsidDel="00000000" w:rsidP="00000000" w:rsidRDefault="00000000" w:rsidRPr="00000000" w14:paraId="00000004">
      <w:pPr>
        <w:spacing w:line="360" w:lineRule="auto"/>
        <w:jc w:val="center"/>
        <w:rPr>
          <w:rFonts w:ascii="Roboto" w:cs="Roboto" w:eastAsia="Roboto" w:hAnsi="Roboto"/>
          <w:smallCaps w:val="1"/>
          <w:color w:val="000000"/>
          <w:sz w:val="20"/>
          <w:szCs w:val="20"/>
        </w:rPr>
      </w:pPr>
      <w:r w:rsidDel="00000000" w:rsidR="00000000" w:rsidRPr="00000000">
        <w:rPr>
          <w:rFonts w:ascii="Roboto" w:cs="Roboto" w:eastAsia="Roboto" w:hAnsi="Roboto"/>
          <w:smallCaps w:val="1"/>
          <w:color w:val="000000"/>
          <w:sz w:val="20"/>
          <w:szCs w:val="20"/>
          <w:rtl w:val="0"/>
        </w:rPr>
        <w:t xml:space="preserve">INDIVIDUALS AND COMMUNITIES</w:t>
      </w:r>
    </w:p>
    <w:p w:rsidR="00000000" w:rsidDel="00000000" w:rsidP="00000000" w:rsidRDefault="00000000" w:rsidRPr="00000000" w14:paraId="00000005">
      <w:pPr>
        <w:spacing w:after="1000" w:lineRule="auto"/>
        <w:jc w:val="center"/>
        <w:rPr>
          <w:rFonts w:ascii="Roboto" w:cs="Roboto" w:eastAsia="Roboto" w:hAnsi="Roboto"/>
          <w:smallCaps w:val="1"/>
          <w:color w:val="000000"/>
          <w:sz w:val="20"/>
          <w:szCs w:val="20"/>
        </w:rPr>
      </w:pPr>
      <w:r w:rsidDel="00000000" w:rsidR="00000000" w:rsidRPr="00000000">
        <w:rPr>
          <w:rtl w:val="0"/>
        </w:rPr>
      </w:r>
    </w:p>
    <w:p w:rsidR="00000000" w:rsidDel="00000000" w:rsidP="00000000" w:rsidRDefault="00000000" w:rsidRPr="00000000" w14:paraId="00000006">
      <w:pPr>
        <w:spacing w:after="240" w:before="240" w:lineRule="auto"/>
        <w:rPr>
          <w:rFonts w:ascii="Roboto" w:cs="Roboto" w:eastAsia="Roboto" w:hAnsi="Roboto"/>
          <w:smallCaps w:val="1"/>
          <w:color w:val="000000"/>
          <w:sz w:val="20"/>
          <w:szCs w:val="20"/>
        </w:rPr>
      </w:pPr>
      <w:r w:rsidDel="00000000" w:rsidR="00000000" w:rsidRPr="00000000">
        <w:rPr>
          <w:rFonts w:ascii="Roboto" w:cs="Roboto" w:eastAsia="Roboto" w:hAnsi="Roboto"/>
          <w:smallCaps w:val="1"/>
          <w:color w:val="000000"/>
          <w:sz w:val="20"/>
          <w:szCs w:val="20"/>
          <w:rtl w:val="0"/>
        </w:rPr>
        <w:t xml:space="preserve">MADE [</w:t>
      </w:r>
      <w:r w:rsidDel="00000000" w:rsidR="00000000" w:rsidRPr="00000000">
        <w:rPr>
          <w:rFonts w:ascii="Roboto" w:cs="Roboto" w:eastAsia="Roboto" w:hAnsi="Roboto"/>
          <w:i w:val="1"/>
          <w:smallCaps w:val="1"/>
          <w:color w:val="000000"/>
          <w:sz w:val="20"/>
          <w:szCs w:val="20"/>
          <w:rtl w:val="0"/>
        </w:rPr>
        <w:t xml:space="preserve">INSERT DATE</w:t>
      </w:r>
      <w:r w:rsidDel="00000000" w:rsidR="00000000" w:rsidRPr="00000000">
        <w:rPr>
          <w:rFonts w:ascii="Roboto" w:cs="Roboto" w:eastAsia="Roboto" w:hAnsi="Roboto"/>
          <w:smallCaps w:val="1"/>
          <w:color w:val="000000"/>
          <w:sz w:val="20"/>
          <w:szCs w:val="20"/>
          <w:rtl w:val="0"/>
        </w:rPr>
        <w:t xml:space="preserve">]</w:t>
      </w:r>
    </w:p>
    <w:p w:rsidR="00000000" w:rsidDel="00000000" w:rsidP="00000000" w:rsidRDefault="00000000" w:rsidRPr="00000000" w14:paraId="00000007">
      <w:pPr>
        <w:spacing w:after="1000" w:before="240" w:lineRule="auto"/>
        <w:rPr>
          <w:rFonts w:ascii="Roboto" w:cs="Roboto" w:eastAsia="Roboto" w:hAnsi="Roboto"/>
          <w:smallCaps w:val="1"/>
          <w:color w:val="000000"/>
          <w:sz w:val="20"/>
          <w:szCs w:val="20"/>
        </w:rPr>
      </w:pPr>
      <w:r w:rsidDel="00000000" w:rsidR="00000000" w:rsidRPr="00000000">
        <w:rPr>
          <w:rFonts w:ascii="Roboto" w:cs="Roboto" w:eastAsia="Roboto" w:hAnsi="Roboto"/>
          <w:smallCaps w:val="1"/>
          <w:color w:val="000000"/>
          <w:sz w:val="20"/>
          <w:szCs w:val="20"/>
          <w:rtl w:val="0"/>
        </w:rPr>
        <w:t xml:space="preserve">BY [</w:t>
      </w:r>
      <w:r w:rsidDel="00000000" w:rsidR="00000000" w:rsidRPr="00000000">
        <w:rPr>
          <w:rFonts w:ascii="Roboto" w:cs="Roboto" w:eastAsia="Roboto" w:hAnsi="Roboto"/>
          <w:i w:val="1"/>
          <w:smallCaps w:val="1"/>
          <w:color w:val="000000"/>
          <w:sz w:val="20"/>
          <w:szCs w:val="20"/>
          <w:rtl w:val="0"/>
        </w:rPr>
        <w:t xml:space="preserve">INSERT NAME OF GOVERNMENTAL BODY</w:t>
      </w:r>
      <w:r w:rsidDel="00000000" w:rsidR="00000000" w:rsidRPr="00000000">
        <w:rPr>
          <w:rFonts w:ascii="Roboto" w:cs="Roboto" w:eastAsia="Roboto" w:hAnsi="Roboto"/>
          <w:smallCaps w:val="1"/>
          <w:color w:val="000000"/>
          <w:sz w:val="20"/>
          <w:szCs w:val="20"/>
          <w:rtl w:val="0"/>
        </w:rPr>
        <w:t xml:space="preserve">]</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racism should have no place in [</w:t>
      </w:r>
      <w:r w:rsidDel="00000000" w:rsidR="00000000" w:rsidRPr="00000000">
        <w:rPr>
          <w:rFonts w:ascii="Roboto" w:cs="Roboto" w:eastAsia="Roboto" w:hAnsi="Roboto"/>
          <w:i w:val="1"/>
          <w:smallCaps w:val="0"/>
          <w:strike w:val="0"/>
          <w:color w:val="000000"/>
          <w:sz w:val="20"/>
          <w:szCs w:val="20"/>
          <w:u w:val="none"/>
          <w:shd w:fill="auto" w:val="clear"/>
          <w:vertAlign w:val="baseline"/>
          <w:rtl w:val="0"/>
        </w:rPr>
        <w:t xml:space="preserve">insert name of jurisdiction</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which is committed to building an inclusive and equitable community for all,</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“Asian American and Pacific Islander” and “AAPI” encompass an inclusive coalition of Asian Americans, Pacific Islanders and other individuals of Asian heritage in the United States, standing together from more than 50 ethnic groups, speaking over 100 languages and representing diverse histories, cultures, identities and modern-day experiences,</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w:t>
      </w:r>
      <w:r w:rsidDel="00000000" w:rsidR="00000000" w:rsidRPr="00000000">
        <w:rPr>
          <w:rFonts w:ascii="Roboto" w:cs="Roboto" w:eastAsia="Roboto" w:hAnsi="Roboto"/>
          <w:i w:val="1"/>
          <w:smallCaps w:val="0"/>
          <w:strike w:val="0"/>
          <w:color w:val="000000"/>
          <w:sz w:val="20"/>
          <w:szCs w:val="20"/>
          <w:u w:val="none"/>
          <w:shd w:fill="auto" w:val="clear"/>
          <w:vertAlign w:val="baseline"/>
          <w:rtl w:val="0"/>
        </w:rPr>
        <w:t xml:space="preserve">Consider providing information on AAPI representation in your community, such as data on your community’s demographics and contributions by AAPI community members</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our nation must reckon with a long history of racism and injustice towards AAPI people and communities, including: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 lynching of nineteen Chinese Americans by a mob in Los</w:t>
      </w:r>
      <w:r w:rsidDel="00000000" w:rsidR="00000000" w:rsidRPr="00000000">
        <w:rPr>
          <w:rFonts w:ascii="Roboto" w:cs="Roboto" w:eastAsia="Roboto" w:hAnsi="Roboto"/>
          <w:color w:val="000000"/>
          <w:sz w:val="20"/>
          <w:szCs w:val="20"/>
          <w:rtl w:val="0"/>
        </w:rPr>
        <w:t xml:space="preserve"> </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Angeles in 1871, </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736" w:right="0" w:hanging="1296.0000000000002"/>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 Chinese Exclusion Act of 1882,</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 forceful overthrow of the Kingdom of Hawai’i in 1893 by United States missionaries before its eventual annexation in 1898,</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stripping naturalized Indian Americans of their status as citizens of the United States after the Supreme Court’s decision in </w:t>
      </w:r>
      <w:r w:rsidDel="00000000" w:rsidR="00000000" w:rsidRPr="00000000">
        <w:rPr>
          <w:rFonts w:ascii="Roboto" w:cs="Roboto" w:eastAsia="Roboto" w:hAnsi="Roboto"/>
          <w:i w:val="1"/>
          <w:smallCaps w:val="0"/>
          <w:strike w:val="0"/>
          <w:color w:val="000000"/>
          <w:sz w:val="20"/>
          <w:szCs w:val="20"/>
          <w:u w:val="none"/>
          <w:shd w:fill="auto" w:val="clear"/>
          <w:vertAlign w:val="baseline"/>
          <w:rtl w:val="0"/>
        </w:rPr>
        <w:t xml:space="preserve">United States v. Bhagat Singh Thind</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 1923,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 California legislature’s deliberate and immediate expansion of anti-miscegenation laws to overturn </w:t>
      </w:r>
      <w:r w:rsidDel="00000000" w:rsidR="00000000" w:rsidRPr="00000000">
        <w:rPr>
          <w:rFonts w:ascii="Roboto" w:cs="Roboto" w:eastAsia="Roboto" w:hAnsi="Roboto"/>
          <w:i w:val="1"/>
          <w:smallCaps w:val="0"/>
          <w:strike w:val="0"/>
          <w:color w:val="000000"/>
          <w:sz w:val="20"/>
          <w:szCs w:val="20"/>
          <w:u w:val="none"/>
          <w:shd w:fill="auto" w:val="clear"/>
          <w:vertAlign w:val="baseline"/>
          <w:rtl w:val="0"/>
        </w:rPr>
        <w:t xml:space="preserve">Roldan v. Los Angeles County</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w:t>
      </w:r>
      <w:r w:rsidDel="00000000" w:rsidR="00000000" w:rsidRPr="00000000">
        <w:rPr>
          <w:rFonts w:ascii="Roboto" w:cs="Roboto" w:eastAsia="Roboto" w:hAnsi="Roboto"/>
          <w:b w:val="1"/>
          <w:i w:val="0"/>
          <w:smallCaps w:val="0"/>
          <w:strike w:val="0"/>
          <w:color w:val="000000"/>
          <w:sz w:val="20"/>
          <w:szCs w:val="20"/>
          <w:u w:val="none"/>
          <w:shd w:fill="auto" w:val="clear"/>
          <w:vertAlign w:val="baseline"/>
          <w:rtl w:val="0"/>
        </w:rPr>
        <w:t xml:space="preserve">1933</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 which the court granted a marriage license to a Filipino American man and white woman because then existing anti-miscegenation laws applied to other Asian races, but not Filipino Americans,</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forcing Japanese Americans into concentration camps during World War II, and upholding the constitutionality of these actions in </w:t>
      </w:r>
      <w:r w:rsidDel="00000000" w:rsidR="00000000" w:rsidRPr="00000000">
        <w:rPr>
          <w:rFonts w:ascii="Roboto" w:cs="Roboto" w:eastAsia="Roboto" w:hAnsi="Roboto"/>
          <w:i w:val="1"/>
          <w:smallCaps w:val="0"/>
          <w:strike w:val="0"/>
          <w:color w:val="000000"/>
          <w:sz w:val="20"/>
          <w:szCs w:val="20"/>
          <w:u w:val="none"/>
          <w:shd w:fill="auto" w:val="clear"/>
          <w:vertAlign w:val="baseline"/>
          <w:rtl w:val="0"/>
        </w:rPr>
        <w:t xml:space="preserve">Korematsu v. United States</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 1944,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alien land laws, which unjustly deprived immigrants of Asian and other heritage of their rights to own property in many states and remained in force until 1952,</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 murder of Vincent Chin in 1982, and the miscarriage of justice that allowed his killers to walk free,</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 massacre at Cleveland Elementary School, where a community of Southeast Asian refugees was targeted by a white supremacist who murdered five refugee schoolchildren and injured at least two dozen others, in Stockton, California in 1989,</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revenge-motivated violence against Americans of South Asian origins after  September 11, 2001, and</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 deliberate use of stigmatizing rhetoric by our public officials, such as “China virus” and “kung flu” to scapegoat the AAPI community for the COVID-19 pandemic in 2020, </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0"/>
        <w:jc w:val="left"/>
        <w:rPr>
          <w:rFonts w:ascii="Roboto" w:cs="Roboto" w:eastAsia="Roboto" w:hAnsi="Roboto"/>
          <w:color w:val="000000"/>
          <w:sz w:val="20"/>
          <w:szCs w:val="20"/>
        </w:rPr>
      </w:pPr>
      <w:r w:rsidDel="00000000" w:rsidR="00000000" w:rsidRPr="00000000">
        <w:rPr>
          <w:rFonts w:ascii="Roboto" w:cs="Roboto" w:eastAsia="Roboto" w:hAnsi="Roboto"/>
          <w:color w:val="000000"/>
          <w:sz w:val="20"/>
          <w:szCs w:val="20"/>
          <w:rtl w:val="0"/>
        </w:rPr>
        <w:t xml:space="preserve">and this history has been shaped by U.S. foreign policy toward Asia, which has contributed to seeing AAPIs as outsiders or threats,</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 recent and sustained surge in AAPI hate incidents is a manifestation of the continuing systemic racism and xenophobia against AAPI individuals in the United States, and it is unacceptable,</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0"/>
        <w:jc w:val="left"/>
        <w:rPr>
          <w:rFonts w:ascii="Roboto" w:cs="Roboto" w:eastAsia="Roboto" w:hAnsi="Roboto"/>
          <w:color w:val="000000"/>
          <w:sz w:val="20"/>
          <w:szCs w:val="20"/>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between March 19, 2020 and March 31, 2021, 6,603 acts of AAPI hate were reported to Stop AAPI Hate, a national coalition that tracks anti-AAPI incidents, and this number represents only a fraction of the AAPI hate incidents and hate crimes that occurred during this period,</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0"/>
        <w:jc w:val="left"/>
        <w:rPr>
          <w:rFonts w:ascii="Roboto" w:cs="Roboto" w:eastAsia="Roboto" w:hAnsi="Roboto"/>
          <w:color w:val="000000"/>
          <w:sz w:val="20"/>
          <w:szCs w:val="20"/>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of the reported acts of AAPI hate: </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432"/>
        <w:jc w:val="left"/>
        <w:rPr>
          <w:rFonts w:ascii="Roboto" w:cs="Roboto" w:eastAsia="Roboto" w:hAnsi="Roboto"/>
          <w:color w:val="000000"/>
          <w:sz w:val="20"/>
          <w:szCs w:val="20"/>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64.8% were reported by women, </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432"/>
        <w:jc w:val="left"/>
        <w:rPr>
          <w:rFonts w:ascii="Roboto" w:cs="Roboto" w:eastAsia="Roboto" w:hAnsi="Roboto"/>
          <w:color w:val="000000"/>
          <w:sz w:val="20"/>
          <w:szCs w:val="20"/>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65.2% involved verbal harassment, </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432"/>
        <w:jc w:val="left"/>
        <w:rPr>
          <w:rFonts w:ascii="Roboto" w:cs="Roboto" w:eastAsia="Roboto" w:hAnsi="Roboto"/>
          <w:color w:val="000000"/>
          <w:sz w:val="20"/>
          <w:szCs w:val="20"/>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18.1% involved shunning, </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432"/>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12.6% involved physical assaults,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many involved other expressions of hate, such as being coughed at or spat on, being barred from businesses or transit, workplace discrimination, online discrimination, vandalism and graffiti, and</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most such incidents occurred in open view and in spaces open to the public, such as streets, sidewalks, parks, businesses and public transit,</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w:t>
      </w:r>
      <w:r w:rsidDel="00000000" w:rsidR="00000000" w:rsidRPr="00000000">
        <w:rPr>
          <w:rFonts w:ascii="Roboto" w:cs="Roboto" w:eastAsia="Roboto" w:hAnsi="Roboto"/>
          <w:i w:val="1"/>
          <w:smallCaps w:val="0"/>
          <w:strike w:val="0"/>
          <w:color w:val="000000"/>
          <w:sz w:val="20"/>
          <w:szCs w:val="20"/>
          <w:u w:val="none"/>
          <w:shd w:fill="auto" w:val="clear"/>
          <w:vertAlign w:val="baseline"/>
          <w:rtl w:val="0"/>
        </w:rPr>
        <w:t xml:space="preserve">Consider noting any incidents of AAPI hate that have had a direct impact on your community and would resonate to call out; if you do, however, please be mindful that the individuals who have been affected most directly might want to maintain their privacy</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we are shocked and devastated by the murders in the area of Atlanta, GA on March 16, 2021 of eight of our fellow Americans, six of whom were AAPI women, and </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this violence made painfully clear that AAPI women are especially vulnerable to being dehumanized,</w:t>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an act of AAPI hate may target one person physically yet cause damage, psychologically and socially, to every person who shares the same identity,</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income inequality in the AAPI community is greater than for any other racial or ethnic group in the United States,</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0"/>
        <w:jc w:val="left"/>
        <w:rPr>
          <w:rFonts w:ascii="Roboto" w:cs="Roboto" w:eastAsia="Roboto" w:hAnsi="Roboto"/>
          <w:color w:val="000000"/>
          <w:sz w:val="20"/>
          <w:szCs w:val="20"/>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 model minority myth has been used as a tool of white supremacy, to justify anti-Blackness and the mistreatment of other people of color, </w:t>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0"/>
        <w:jc w:val="left"/>
        <w:rPr>
          <w:rFonts w:ascii="Roboto" w:cs="Roboto" w:eastAsia="Roboto" w:hAnsi="Roboto"/>
          <w:color w:val="000000"/>
          <w:sz w:val="20"/>
          <w:szCs w:val="20"/>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 perpetual foreigner stereotype, perpetuated by nativist xenophobia, has been used to deny AAPIs a sense of belonging in their communities, and </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these harmful prejudices have contributed to, and made invisible or unimportant, the health, economic, education, and other disparities among AAPIs and further marginalized AAPIs suffering from poverty,</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AAPI individuals are disproportionately represented among the victims of COVID-19 and essential workers during the pandemic, as exemplified by Filipino American nurses, who make up 4% of registered nurses in the United States but 31.5% of the nurses who have died because of COVID-19 and related complications, and</w:t>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1008"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stigmatization and discrimination have exacerbated the economic damage caused by COVID-19 to AAPI businesses, </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the cause of justice and equality is shared by the AAPI community with all people whose rights are denied and whose voices are unheard, in solidarity with individuals from every walk of life who identify as Black, Latinx and Indigenous, LGBTQIA and feminist, immigrants and refugees, and people with disabilities, because our collective efforts to secure justice and equality advance the fundamental rights of all people,</w:t>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1008" w:right="0" w:hanging="1008"/>
        <w:jc w:val="left"/>
        <w:rPr>
          <w:rFonts w:ascii="Roboto" w:cs="Roboto" w:eastAsia="Roboto" w:hAnsi="Roboto"/>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w:t>
      </w:r>
      <w:r w:rsidDel="00000000" w:rsidR="00000000" w:rsidRPr="00000000">
        <w:rPr>
          <w:rFonts w:ascii="Roboto" w:cs="Roboto" w:eastAsia="Roboto" w:hAnsi="Roboto"/>
          <w:i w:val="1"/>
          <w:smallCaps w:val="0"/>
          <w:strike w:val="0"/>
          <w:color w:val="000000"/>
          <w:sz w:val="20"/>
          <w:szCs w:val="20"/>
          <w:u w:val="none"/>
          <w:shd w:fill="auto" w:val="clear"/>
          <w:vertAlign w:val="baseline"/>
          <w:rtl w:val="0"/>
        </w:rPr>
        <w:t xml:space="preserve">Consider highlighting actions that your community has taken in response to AAPI racism, in particular any actions responding to the recent surge in AAPI hate incidents</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70" w:right="0" w:hanging="1296"/>
        <w:jc w:val="left"/>
        <w:rPr>
          <w:rFonts w:ascii="Roboto" w:cs="Roboto" w:eastAsia="Roboto" w:hAnsi="Roboto"/>
          <w:b w:val="1"/>
          <w:smallCaps w:val="1"/>
          <w:color w:val="000000"/>
          <w:sz w:val="20"/>
          <w:szCs w:val="20"/>
        </w:rPr>
      </w:pPr>
      <w:r w:rsidDel="00000000" w:rsidR="00000000" w:rsidRPr="00000000">
        <w:rPr>
          <w:rFonts w:ascii="Roboto" w:cs="Roboto" w:eastAsia="Roboto" w:hAnsi="Roboto"/>
          <w:b w:val="1"/>
          <w:smallCaps w:val="1"/>
          <w:color w:val="000000"/>
          <w:sz w:val="20"/>
          <w:szCs w:val="20"/>
          <w:rtl w:val="0"/>
        </w:rPr>
        <w:t xml:space="preserve">NOW, THEREFORE, BE IT RESOLVED BY [</w:t>
      </w:r>
      <w:r w:rsidDel="00000000" w:rsidR="00000000" w:rsidRPr="00000000">
        <w:rPr>
          <w:rFonts w:ascii="Roboto" w:cs="Roboto" w:eastAsia="Roboto" w:hAnsi="Roboto"/>
          <w:b w:val="1"/>
          <w:i w:val="1"/>
          <w:smallCaps w:val="1"/>
          <w:color w:val="000000"/>
          <w:sz w:val="20"/>
          <w:szCs w:val="20"/>
          <w:rtl w:val="0"/>
        </w:rPr>
        <w:t xml:space="preserve">INSERT NAME OF GOVERNMENTAL BODY</w:t>
      </w:r>
      <w:r w:rsidDel="00000000" w:rsidR="00000000" w:rsidRPr="00000000">
        <w:rPr>
          <w:rFonts w:ascii="Roboto" w:cs="Roboto" w:eastAsia="Roboto" w:hAnsi="Roboto"/>
          <w:b w:val="1"/>
          <w:smallCaps w:val="1"/>
          <w:color w:val="000000"/>
          <w:sz w:val="20"/>
          <w:szCs w:val="20"/>
          <w:rtl w:val="0"/>
        </w:rPr>
        <w:t xml:space="preserve">]</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70" w:right="0" w:hanging="1296"/>
        <w:jc w:val="left"/>
        <w:rPr>
          <w:rFonts w:ascii="Roboto" w:cs="Roboto" w:eastAsia="Roboto" w:hAnsi="Roboto"/>
          <w:color w:val="000000"/>
          <w:sz w:val="20"/>
          <w:szCs w:val="20"/>
        </w:rPr>
      </w:pPr>
      <w:r w:rsidDel="00000000" w:rsidR="00000000" w:rsidRPr="00000000">
        <w:rPr>
          <w:rFonts w:ascii="Roboto" w:cs="Roboto" w:eastAsia="Roboto" w:hAnsi="Roboto"/>
          <w:color w:val="000000"/>
          <w:sz w:val="20"/>
          <w:szCs w:val="20"/>
          <w:rtl w:val="0"/>
        </w:rPr>
        <w:t xml:space="preserve">That this body does hereby:</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70" w:right="0" w:hanging="1296"/>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Condemn all hate against AAPI individuals and communities;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026"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Oppose all expressions of AAPI hate and all actions that manifest racism, discrimination, misogyny, xenophobia or intolerance in our community;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026"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Support policies at all levels of government that reinforce human rights and civil rights protections; </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026"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w:t>
      </w:r>
      <w:r w:rsidDel="00000000" w:rsidR="00000000" w:rsidRPr="00000000">
        <w:rPr>
          <w:rFonts w:ascii="Roboto" w:cs="Roboto" w:eastAsia="Roboto" w:hAnsi="Roboto"/>
          <w:i w:val="1"/>
          <w:smallCaps w:val="0"/>
          <w:strike w:val="0"/>
          <w:color w:val="000000"/>
          <w:sz w:val="20"/>
          <w:szCs w:val="20"/>
          <w:u w:val="none"/>
          <w:shd w:fill="auto" w:val="clear"/>
          <w:vertAlign w:val="baseline"/>
          <w:rtl w:val="0"/>
        </w:rPr>
        <w:t xml:space="preserve">Consider forming, urging or mandating specific governmental bodies – in your community or at other levels of government, as appropriate – to take specific actions to prevent, combat and address acts of AAPI hate; for example, call upon public officials to dedicate resources to preventing and responding to AAPI hate acts and addressing the trauma and negative impact of COVID-19 on AAPI individuals and businesses;</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026"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Encourage all who experience or witness AAPI hate to report such acts of hate so that they can be seen, monitored, investigated, and redressed; </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026"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Recommit to building a more inclusive and equitable society that prioritizes inclusivity in how we communicate with one another and rejects falsehoods that put AAPI individuals at risk; </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026"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Commit to promote learning and education as the powerful and proactive foundation of racial empathy, cultural competency, solidarity and justice; and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1026"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Affirm that we respect and appreciate AAPI individuals as members of our community, and that we stand in solidarity with the AAPI community in support of their health, safety and welfare.</w:t>
      </w:r>
    </w:p>
    <w:sectPr>
      <w:headerReference r:id="rId6" w:type="default"/>
      <w:headerReference r:id="rId7" w:type="first"/>
      <w:footerReference r:id="rId8" w:type="default"/>
      <w:footerReference r:id="rId9" w:type="first"/>
      <w:pgSz w:h="15840" w:w="12240" w:orient="portrait"/>
      <w:pgMar w:bottom="360" w:top="360" w:left="2592" w:right="2592" w:header="288" w:footer="43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1c1c1c"/>
        <w:sz w:val="18"/>
        <w:szCs w:val="18"/>
        <w:u w:val="none"/>
        <w:shd w:fill="auto" w:val="clear"/>
        <w:vertAlign w:val="baseline"/>
      </w:rPr>
    </w:pPr>
    <w:r w:rsidDel="00000000" w:rsidR="00000000" w:rsidRPr="00000000">
      <w:rPr>
        <w:rtl w:val="0"/>
      </w:rPr>
    </w:r>
  </w:p>
  <w:tbl>
    <w:tblPr>
      <w:tblStyle w:val="Table2"/>
      <w:tblW w:w="1152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840"/>
      <w:gridCol w:w="3840"/>
      <w:gridCol w:w="3840"/>
      <w:tblGridChange w:id="0">
        <w:tblGrid>
          <w:gridCol w:w="3840"/>
          <w:gridCol w:w="3840"/>
          <w:gridCol w:w="3840"/>
        </w:tblGrid>
      </w:tblGridChange>
    </w:tblGrid>
    <w:tr>
      <w:tc>
        <w:tcPr>
          <w:vAlign w:val="bottom"/>
        </w:tcPr>
        <w:p w:rsidR="00000000" w:rsidDel="00000000" w:rsidP="00000000" w:rsidRDefault="00000000" w:rsidRPr="00000000" w14:paraId="0000003E">
          <w:pPr>
            <w:tabs>
              <w:tab w:val="right" w:pos="7060"/>
            </w:tabs>
            <w:rPr>
              <w:color w:val="000000"/>
              <w:sz w:val="12"/>
              <w:szCs w:val="12"/>
            </w:rPr>
          </w:pPr>
          <w:r w:rsidDel="00000000" w:rsidR="00000000" w:rsidRPr="00000000">
            <w:rPr>
              <w:rtl w:val="0"/>
            </w:rPr>
          </w:r>
        </w:p>
      </w:tc>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1</w:t>
          </w:r>
        </w:p>
      </w:tc>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tl w:val="0"/>
      </w:rPr>
    </w:r>
  </w:p>
  <w:tbl>
    <w:tblPr>
      <w:tblStyle w:val="Table3"/>
      <w:tblW w:w="1152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840"/>
      <w:gridCol w:w="3840"/>
      <w:gridCol w:w="3840"/>
      <w:tblGridChange w:id="0">
        <w:tblGrid>
          <w:gridCol w:w="3840"/>
          <w:gridCol w:w="3840"/>
          <w:gridCol w:w="3840"/>
        </w:tblGrid>
      </w:tblGridChange>
    </w:tblGrid>
    <w:tr>
      <w:tc>
        <w:tcPr>
          <w:vAlign w:val="bottom"/>
        </w:tcPr>
        <w:p w:rsidR="00000000" w:rsidDel="00000000" w:rsidP="00000000" w:rsidRDefault="00000000" w:rsidRPr="00000000" w14:paraId="00000043">
          <w:pPr>
            <w:tabs>
              <w:tab w:val="right" w:pos="7060"/>
            </w:tabs>
            <w:rPr>
              <w:color w:val="000000"/>
              <w:sz w:val="12"/>
              <w:szCs w:val="12"/>
            </w:rPr>
          </w:pPr>
          <w:r w:rsidDel="00000000" w:rsidR="00000000" w:rsidRPr="00000000">
            <w:rPr>
              <w:rtl w:val="0"/>
            </w:rPr>
          </w:r>
        </w:p>
      </w:tc>
      <w:tc>
        <w:tcPr>
          <w:vAlign w:val="bottom"/>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2</w:t>
          </w:r>
        </w:p>
      </w:tc>
      <w:tc>
        <w:tcPr>
          <w:vAlign w:val="bottom"/>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Book Antiqua" w:cs="Book Antiqua" w:eastAsia="Book Antiqua" w:hAnsi="Book Antiqua"/>
              <w:b w:val="0"/>
              <w:i w:val="0"/>
              <w:smallCaps w:val="1"/>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tabs>
        <w:tab w:val="center" w:pos="4680"/>
        <w:tab w:val="right" w:pos="9360"/>
      </w:tabs>
      <w:spacing w:before="1600" w:lineRule="auto"/>
      <w:jc w:val="left"/>
      <w:rPr>
        <w:rFonts w:ascii="Roboto" w:cs="Roboto" w:eastAsia="Roboto" w:hAnsi="Roboto"/>
        <w:b w:val="1"/>
        <w:color w:val="000000"/>
        <w:sz w:val="22"/>
        <w:szCs w:val="22"/>
      </w:rPr>
    </w:pPr>
    <w:r w:rsidDel="00000000" w:rsidR="00000000" w:rsidRPr="00000000">
      <w:rPr>
        <w:rFonts w:ascii="Roboto" w:cs="Roboto" w:eastAsia="Roboto" w:hAnsi="Roboto"/>
        <w:b w:val="1"/>
        <w:color w:val="000000"/>
        <w:sz w:val="22"/>
        <w:szCs w:val="22"/>
      </w:rPr>
      <w:drawing>
        <wp:anchor allowOverlap="1" behindDoc="0" distB="0" distT="0" distL="114300" distR="114300" hidden="0" layoutInCell="1" locked="0" relativeHeight="0" simplePos="0">
          <wp:simplePos x="0" y="0"/>
          <wp:positionH relativeFrom="page">
            <wp:posOffset>314379</wp:posOffset>
          </wp:positionH>
          <wp:positionV relativeFrom="page">
            <wp:posOffset>406400</wp:posOffset>
          </wp:positionV>
          <wp:extent cx="666750" cy="759069"/>
          <wp:effectExtent b="0" l="0" r="0" t="0"/>
          <wp:wrapNone/>
          <wp:docPr descr="https://caasf.org/wp-content/uploads/2021/03/stopaapihate.action-1000-902x1024.png" id="1" name="image1.png"/>
          <a:graphic>
            <a:graphicData uri="http://schemas.openxmlformats.org/drawingml/2006/picture">
              <pic:pic>
                <pic:nvPicPr>
                  <pic:cNvPr descr="https://caasf.org/wp-content/uploads/2021/03/stopaapihate.action-1000-902x1024.png" id="0" name="image1.png"/>
                  <pic:cNvPicPr preferRelativeResize="0"/>
                </pic:nvPicPr>
                <pic:blipFill>
                  <a:blip r:embed="rId1"/>
                  <a:srcRect b="0" l="0" r="0" t="0"/>
                  <a:stretch>
                    <a:fillRect/>
                  </a:stretch>
                </pic:blipFill>
                <pic:spPr>
                  <a:xfrm>
                    <a:off x="0" y="0"/>
                    <a:ext cx="666750" cy="759069"/>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1c1c1c"/>
        <w:sz w:val="18"/>
        <w:szCs w:val="18"/>
        <w:u w:val="none"/>
        <w:shd w:fill="auto" w:val="clear"/>
        <w:vertAlign w:val="baseline"/>
      </w:rPr>
    </w:pPr>
    <w:r w:rsidDel="00000000" w:rsidR="00000000" w:rsidRPr="00000000">
      <w:rPr>
        <w:rtl w:val="0"/>
      </w:rPr>
    </w:r>
  </w:p>
  <w:tbl>
    <w:tblPr>
      <w:tblStyle w:val="Table1"/>
      <w:tblW w:w="10800.0" w:type="dxa"/>
      <w:jc w:val="left"/>
      <w:tblInd w:w="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00"/>
      <w:gridCol w:w="5400"/>
      <w:tblGridChange w:id="0">
        <w:tblGrid>
          <w:gridCol w:w="5400"/>
          <w:gridCol w:w="5400"/>
        </w:tblGrid>
      </w:tblGridChange>
    </w:tblGrid>
    <w:tr>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80" w:before="0" w:line="276" w:lineRule="auto"/>
            <w:ind w:left="0" w:right="0" w:firstLine="0"/>
            <w:jc w:val="center"/>
            <w:rPr>
              <w:rFonts w:ascii="Arial" w:cs="Arial" w:eastAsia="Arial" w:hAnsi="Arial"/>
              <w:b w:val="1"/>
              <w:i w:val="0"/>
              <w:smallCaps w:val="0"/>
              <w:strike w:val="0"/>
              <w:color w:val="80808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right"/>
            <w:rPr>
              <w:rFonts w:ascii="Arial" w:cs="Arial" w:eastAsia="Arial" w:hAnsi="Arial"/>
              <w:b w:val="0"/>
              <w:i w:val="1"/>
              <w:smallCaps w:val="0"/>
              <w:strike w:val="0"/>
              <w:color w:val="80808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Book Antiqua" w:cs="Book Antiqua" w:eastAsia="Book Antiqua" w:hAnsi="Book Antiqua"/>
        <w:b w:val="0"/>
        <w:i w:val="0"/>
        <w:smallCaps w:val="0"/>
        <w:strike w:val="0"/>
        <w:color w:val="1c1c1c"/>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WHEREAS,"/>
      <w:lvlJc w:val="left"/>
      <w:pPr>
        <w:ind w:left="1008" w:hanging="1008"/>
      </w:pPr>
      <w:rPr>
        <w:rFonts w:ascii="Book Antiqua" w:cs="Book Antiqua" w:eastAsia="Book Antiqua" w:hAnsi="Book Antiqua"/>
        <w:strike w:val="0"/>
        <w:color w:val="a6a6a6"/>
        <w:sz w:val="18"/>
        <w:szCs w:val="18"/>
        <w:vertAlign w:val="baseli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Book Antiqua" w:cs="Book Antiqua" w:eastAsia="Book Antiqua" w:hAnsi="Book Antiqua"/>
        <w:color w:val="1c1c1c"/>
        <w:sz w:val="18"/>
        <w:szCs w:val="18"/>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40" w:lineRule="auto"/>
      <w:ind w:left="1008" w:hanging="1008"/>
      <w:jc w:val="center"/>
    </w:pPr>
    <w:rPr>
      <w:b w:val="0"/>
      <w:smallCaps w:val="1"/>
      <w:color w:val="0099cc"/>
      <w:sz w:val="24"/>
      <w:szCs w:val="24"/>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before="40" w:lineRule="auto"/>
    </w:pPr>
    <w:rPr>
      <w:rFonts w:ascii="Cambria" w:cs="Cambria" w:eastAsia="Cambria" w:hAnsi="Cambria"/>
      <w:i w:val="1"/>
      <w:color w:val="366091"/>
    </w:rPr>
  </w:style>
  <w:style w:type="paragraph" w:styleId="Heading5">
    <w:name w:val="heading 5"/>
    <w:basedOn w:val="Normal"/>
    <w:next w:val="Normal"/>
    <w:pPr>
      <w:keepNext w:val="1"/>
      <w:keepLines w:val="1"/>
      <w:spacing w:before="40" w:lineRule="auto"/>
    </w:pPr>
    <w:rPr>
      <w:rFonts w:ascii="Cambria" w:cs="Cambria" w:eastAsia="Cambria" w:hAnsi="Cambria"/>
      <w:color w:val="366091"/>
    </w:rPr>
  </w:style>
  <w:style w:type="paragraph" w:styleId="Heading6">
    <w:name w:val="heading 6"/>
    <w:basedOn w:val="Normal"/>
    <w:next w:val="Normal"/>
    <w:pPr>
      <w:keepNext w:val="1"/>
      <w:keepLines w:val="1"/>
      <w:spacing w:before="40" w:lineRule="auto"/>
    </w:pPr>
    <w:rPr>
      <w:rFonts w:ascii="Cambria" w:cs="Cambria" w:eastAsia="Cambria" w:hAnsi="Cambria"/>
      <w:color w:val="243f61"/>
    </w:rPr>
  </w:style>
  <w:style w:type="paragraph" w:styleId="Title">
    <w:name w:val="Title"/>
    <w:basedOn w:val="Normal"/>
    <w:next w:val="Normal"/>
    <w:pPr/>
    <w:rPr>
      <w:rFonts w:ascii="Cambria" w:cs="Cambria" w:eastAsia="Cambria" w:hAnsi="Cambria"/>
      <w:color w:val="000000"/>
      <w:sz w:val="56"/>
      <w:szCs w:val="56"/>
    </w:rPr>
  </w:style>
  <w:style w:type="paragraph" w:styleId="Subtitle">
    <w:name w:val="Subtitle"/>
    <w:basedOn w:val="Normal"/>
    <w:next w:val="Normal"/>
    <w:pPr>
      <w:spacing w:after="160" w:lineRule="auto"/>
    </w:pPr>
    <w:rPr>
      <w:rFonts w:ascii="Calibri" w:cs="Calibri" w:eastAsia="Calibri" w:hAnsi="Calibri"/>
      <w:color w:val="5a5a5a"/>
      <w:sz w:val="22"/>
      <w:szCs w:val="22"/>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