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spacing w:after="240" w:before="240" w:lineRule="auto"/>
        <w:rPr>
          <w:rFonts w:ascii="Roboto" w:cs="Roboto" w:eastAsia="Roboto" w:hAnsi="Roboto"/>
        </w:rPr>
      </w:pPr>
      <w:r w:rsidDel="00000000" w:rsidR="00000000" w:rsidRPr="00000000">
        <w:rPr>
          <w:rFonts w:ascii="Roboto" w:cs="Roboto" w:eastAsia="Roboto" w:hAnsi="Roboto"/>
          <w:rtl w:val="0"/>
        </w:rPr>
        <w:t xml:space="preserve">City, county, or state legislators </w:t>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Summary </w:t>
      </w:r>
      <w:r w:rsidDel="00000000" w:rsidR="00000000" w:rsidRPr="00000000">
        <w:rPr>
          <w:rtl w:val="0"/>
        </w:rPr>
      </w:r>
    </w:p>
    <w:p w:rsidR="00000000" w:rsidDel="00000000" w:rsidP="00000000" w:rsidRDefault="00000000" w:rsidRPr="00000000" w14:paraId="00000006">
      <w:pPr>
        <w:spacing w:after="240" w:before="240" w:lineRule="auto"/>
        <w:rPr>
          <w:rFonts w:ascii="Roboto" w:cs="Roboto" w:eastAsia="Roboto" w:hAnsi="Roboto"/>
        </w:rPr>
      </w:pPr>
      <w:r w:rsidDel="00000000" w:rsidR="00000000" w:rsidRPr="00000000">
        <w:rPr>
          <w:rFonts w:ascii="Roboto" w:cs="Roboto" w:eastAsia="Roboto" w:hAnsi="Roboto"/>
          <w:rtl w:val="0"/>
        </w:rPr>
        <w:t xml:space="preserve">In March 2025, the Trump administration issued a presidential proclamation invoking the Alien Enemies Act as a means to remove Venezuelan immigrants who the administration has declared a threat to U.S. national security. This archaic war-time law — which was last used in 1941 to justify Japanese incarceration — allows federal immigration authorities to expedite the deportation of Venezuelan immigrants without due process. </w:t>
      </w:r>
    </w:p>
    <w:p w:rsidR="00000000" w:rsidDel="00000000" w:rsidP="00000000" w:rsidRDefault="00000000" w:rsidRPr="00000000" w14:paraId="00000007">
      <w:pPr>
        <w:spacing w:after="240" w:before="240" w:lineRule="auto"/>
        <w:rPr>
          <w:rFonts w:ascii="Roboto" w:cs="Roboto" w:eastAsia="Roboto" w:hAnsi="Roboto"/>
        </w:rPr>
      </w:pPr>
      <w:r w:rsidDel="00000000" w:rsidR="00000000" w:rsidRPr="00000000">
        <w:rPr>
          <w:rFonts w:ascii="Roboto" w:cs="Roboto" w:eastAsia="Roboto" w:hAnsi="Roboto"/>
          <w:rtl w:val="0"/>
        </w:rPr>
        <w:t xml:space="preserve">This model resolution would show the support of a city, county, or state for immigrant residents and their families and condemn President Trump’s invocation of the Alien Enemies Act to harm Venezuelan immigrants without giving them a chance to defend themselves. </w:t>
      </w:r>
    </w:p>
    <w:p w:rsidR="00000000" w:rsidDel="00000000" w:rsidP="00000000" w:rsidRDefault="00000000" w:rsidRPr="00000000" w14:paraId="00000008">
      <w:pPr>
        <w:spacing w:after="240" w:before="240" w:line="276" w:lineRule="auto"/>
        <w:rPr>
          <w:rFonts w:ascii="Roboto" w:cs="Roboto" w:eastAsia="Roboto" w:hAnsi="Roboto"/>
          <w:b w:val="1"/>
          <w:bCs w:val="1"/>
        </w:rPr>
      </w:pPr>
      <w:r w:rsidDel="00000000" w:rsidR="00000000" w:rsidRPr="00000000">
        <w:rPr>
          <w:rFonts w:ascii="Roboto" w:cs="Roboto" w:eastAsia="Roboto" w:hAnsi="Roboto"/>
          <w:rtl w:val="0"/>
        </w:rPr>
        <w:t xml:space="preserve">A similar resolution has been adopted in Minneapolis and San Francisco. </w:t>
      </w:r>
      <w:r w:rsidDel="00000000" w:rsidR="00000000" w:rsidRPr="00000000">
        <w:rPr>
          <w:rtl w:val="0"/>
        </w:rPr>
      </w:r>
    </w:p>
    <w:p w:rsidR="00000000" w:rsidDel="00000000" w:rsidP="00000000" w:rsidRDefault="00000000" w:rsidRPr="00000000" w14:paraId="00000009">
      <w:pPr>
        <w:spacing w:after="240" w:before="24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A">
      <w:pPr>
        <w:spacing w:after="240" w:before="240"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resolution on the following pages from start to finish. Then revise the highlighted sections to fit your community's needs, incorporating relevant statistics, anecdotes, and other local details. Make note of the starred sections, where more specific guidance can be found. </w:t>
      </w:r>
    </w:p>
    <w:p w:rsidR="00000000" w:rsidDel="00000000" w:rsidP="00000000" w:rsidRDefault="00000000" w:rsidRPr="00000000" w14:paraId="0000000B">
      <w:pPr>
        <w:spacing w:after="240" w:before="240"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C">
      <w:pPr>
        <w:spacing w:after="240" w:before="240"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D">
      <w:pPr>
        <w:spacing w:after="240" w:before="240"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E">
      <w:pPr>
        <w:spacing w:after="240" w:before="240"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F">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jc w:val="center"/>
        <w:rPr>
          <w:rFonts w:ascii="Roboto" w:cs="Roboto" w:eastAsia="Roboto" w:hAnsi="Roboto"/>
        </w:rPr>
      </w:pPr>
      <w:r w:rsidDel="00000000" w:rsidR="00000000" w:rsidRPr="00000000">
        <w:rPr>
          <w:rFonts w:ascii="Roboto" w:cs="Roboto" w:eastAsia="Roboto" w:hAnsi="Roboto"/>
          <w:rtl w:val="0"/>
        </w:rPr>
        <w:t xml:space="preserve">RESOLUTION NO. ______</w:t>
      </w:r>
    </w:p>
    <w:p w:rsidR="00000000" w:rsidDel="00000000" w:rsidP="00000000" w:rsidRDefault="00000000" w:rsidRPr="00000000" w14:paraId="00000018">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276" w:lineRule="auto"/>
        <w:jc w:val="center"/>
        <w:rPr>
          <w:rFonts w:ascii="Roboto" w:cs="Roboto" w:eastAsia="Roboto" w:hAnsi="Roboto"/>
          <w:b w:val="1"/>
          <w:bCs w:val="1"/>
          <w:highlight w:val="yellow"/>
        </w:rPr>
      </w:pPr>
      <w:r w:rsidDel="00000000" w:rsidR="00000000" w:rsidRPr="00000000">
        <w:rPr>
          <w:rFonts w:ascii="Roboto" w:cs="Roboto" w:eastAsia="Roboto" w:hAnsi="Roboto"/>
          <w:b w:val="1"/>
          <w:bCs w:val="1"/>
          <w:highlight w:val="yellow"/>
          <w:rtl w:val="0"/>
        </w:rPr>
        <w:t xml:space="preserve">[RESOLUTION TITLE]</w:t>
      </w:r>
    </w:p>
    <w:p w:rsidR="00000000" w:rsidDel="00000000" w:rsidP="00000000" w:rsidRDefault="00000000" w:rsidRPr="00000000" w14:paraId="0000001A">
      <w:pPr>
        <w:spacing w:line="276" w:lineRule="auto"/>
        <w:jc w:val="cente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B">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On March 15, 2025, President Donald Trump issued a Proclamation, "Invocation of the Alien Enemies Act Regarding the Invasion of the United States by Tren de Aragua" (the "Proclamation"), that purports to direct the government to arrest and remove any Venezuelan national over the age of 14 who is alleged by the federal administration to be a member of this gang</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1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D">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The Alien Enemies Act (AEA) was last invoked in December of 1941, to arrest Japanese, Italian, and German immigrants upon U.S. entry into World War II and it authorized the mass arrests of Japanese immigrant community leaders without warrants or criminal charges, based on racist - and later disproven - assumptions that these business owners and religious leaders were spies and saboteurs; this program of mass arrests of Japanese Americans was expanded in February 1942 by Executive Order 9066, to incarcerate over 120,000 Japanese Americans without due process, two-thirds of whom were American citizens; this incarceration of Japanese Americans is a racist and shameful event in our history</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1E">
      <w:pPr>
        <w:spacing w:line="276"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F">
      <w:pPr>
        <w:spacing w:line="276" w:lineRule="auto"/>
        <w:rPr>
          <w:rFonts w:ascii="Roboto" w:cs="Roboto" w:eastAsia="Roboto" w:hAnsi="Roboto"/>
          <w:highlight w:val="white"/>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white"/>
          <w:rtl w:val="0"/>
        </w:rPr>
        <w:t xml:space="preserve">The United States has not been invaded by Venezuela, nor has the Trump Administration provided any valid justification to summarily detain and deport Venezuelan members of our families and communities</w:t>
      </w:r>
      <w:r w:rsidDel="00000000" w:rsidR="00000000" w:rsidRPr="00000000">
        <w:rPr>
          <w:rFonts w:ascii="Roboto" w:cs="Roboto" w:eastAsia="Roboto" w:hAnsi="Roboto"/>
          <w:b w:val="1"/>
          <w:bCs w:val="1"/>
          <w:highlight w:val="white"/>
          <w:rtl w:val="0"/>
        </w:rPr>
        <w:t xml:space="preserve">; </w:t>
      </w:r>
      <w:r w:rsidDel="00000000" w:rsidR="00000000" w:rsidRPr="00000000">
        <w:rPr>
          <w:rFonts w:ascii="Roboto" w:cs="Roboto" w:eastAsia="Roboto" w:hAnsi="Roboto"/>
          <w:highlight w:val="white"/>
          <w:rtl w:val="0"/>
        </w:rPr>
        <w:t xml:space="preserve">and</w:t>
      </w:r>
    </w:p>
    <w:p w:rsidR="00000000" w:rsidDel="00000000" w:rsidP="00000000" w:rsidRDefault="00000000" w:rsidRPr="00000000" w14:paraId="00000020">
      <w:pPr>
        <w:spacing w:line="276"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1">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On May 16, 2025, the Trump administration’s usage of the Alien Enemies Act during peacetime has been blocked by the Supreme Court, to ensure the due process clause of the U.S. constitution applies to all individuals residing in the United States, regardless of immigration status, condemning any sort of racial profiling that may result of the issuance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2">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3">
      <w:pPr>
        <w:spacing w:line="276" w:lineRule="auto"/>
        <w:rPr>
          <w:rFonts w:ascii="Roboto" w:cs="Roboto" w:eastAsia="Roboto" w:hAnsi="Roboto"/>
          <w:strike w:val="1"/>
        </w:rPr>
      </w:pPr>
      <w:r w:rsidDel="00000000" w:rsidR="00000000" w:rsidRPr="00000000">
        <w:rPr>
          <w:rFonts w:ascii="Roboto" w:cs="Roboto" w:eastAsia="Roboto" w:hAnsi="Roboto"/>
          <w:b w:val="1"/>
          <w:bCs w:val="1"/>
          <w:rtl w:val="0"/>
        </w:rPr>
        <w:t xml:space="preserve">WHEREAS, </w:t>
      </w:r>
      <w:r w:rsidDel="00000000" w:rsidR="00000000" w:rsidRPr="00000000">
        <w:rPr>
          <w:rFonts w:ascii="Roboto" w:cs="Roboto" w:eastAsia="Roboto" w:hAnsi="Roboto"/>
          <w:rtl w:val="0"/>
        </w:rPr>
        <w:t xml:space="preserve">On September 2, 2025, a panel of the U.S. Fifth Circuit Court of Appeals </w:t>
      </w:r>
      <w:hyperlink r:id="rId6">
        <w:r w:rsidDel="00000000" w:rsidR="00000000" w:rsidRPr="00000000">
          <w:rPr>
            <w:rFonts w:ascii="Roboto" w:cs="Roboto" w:eastAsia="Roboto" w:hAnsi="Roboto"/>
            <w:color w:val="1155cc"/>
            <w:u w:val="single"/>
            <w:rtl w:val="0"/>
          </w:rPr>
          <w:t xml:space="preserve">further blocked the administration’s use of the Alien Enemies Act</w:t>
        </w:r>
      </w:hyperlink>
      <w:r w:rsidDel="00000000" w:rsidR="00000000" w:rsidRPr="00000000">
        <w:rPr>
          <w:rFonts w:ascii="Roboto" w:cs="Roboto" w:eastAsia="Roboto" w:hAnsi="Roboto"/>
          <w:rtl w:val="0"/>
        </w:rPr>
        <w:t xml:space="preserve"> and upheld the Supreme Court’s hold on the policy with the full Fifth Circuit of Appeals reviewing the panel’s decision; and</w:t>
      </w:r>
      <w:r w:rsidDel="00000000" w:rsidR="00000000" w:rsidRPr="00000000">
        <w:rPr>
          <w:rtl w:val="0"/>
        </w:rPr>
      </w:r>
    </w:p>
    <w:p w:rsidR="00000000" w:rsidDel="00000000" w:rsidP="00000000" w:rsidRDefault="00000000" w:rsidRPr="00000000" w14:paraId="0000002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5">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RESOLVED, </w:t>
      </w:r>
      <w:r w:rsidDel="00000000" w:rsidR="00000000" w:rsidRPr="00000000">
        <w:rPr>
          <w:rFonts w:ascii="Roboto" w:cs="Roboto" w:eastAsia="Roboto" w:hAnsi="Roboto"/>
          <w:rtl w:val="0"/>
        </w:rPr>
        <w:t xml:space="preserve">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City/County/State Legislature</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hereby opposes the Proclamation purporting to authorize the use of the Alien Enemies Act to deport and members of our community without due process; and be it</w:t>
      </w:r>
    </w:p>
    <w:p w:rsidR="00000000" w:rsidDel="00000000" w:rsidP="00000000" w:rsidRDefault="00000000" w:rsidRPr="00000000" w14:paraId="00000026">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FURTHER RESOLVED,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highlight w:val="yellow"/>
          <w:rtl w:val="0"/>
        </w:rPr>
        <w:t xml:space="preserve">State call to action/counter policy to ensure commitment of </w:t>
      </w:r>
      <w:r w:rsidDel="00000000" w:rsidR="00000000" w:rsidRPr="00000000">
        <w:rPr>
          <w:rFonts w:ascii="Roboto" w:cs="Roboto" w:eastAsia="Roboto" w:hAnsi="Roboto"/>
          <w:b w:val="1"/>
          <w:bCs w:val="1"/>
          <w:highlight w:val="yellow"/>
          <w:rtl w:val="0"/>
        </w:rPr>
        <w:t xml:space="preserve">[City/County/State Legislature]</w:t>
      </w:r>
      <w:r w:rsidDel="00000000" w:rsidR="00000000" w:rsidRPr="00000000">
        <w:rPr>
          <w:rFonts w:ascii="Roboto" w:cs="Roboto" w:eastAsia="Roboto" w:hAnsi="Roboto"/>
          <w:highlight w:val="yellow"/>
          <w:rtl w:val="0"/>
        </w:rPr>
        <w:t xml:space="preserve"> to the immigrant population</w:t>
      </w:r>
      <w:r w:rsidDel="00000000" w:rsidR="00000000" w:rsidRPr="00000000">
        <w:rPr>
          <w:rFonts w:ascii="Roboto" w:cs="Roboto" w:eastAsia="Roboto" w:hAnsi="Roboto"/>
          <w:rtl w:val="0"/>
        </w:rPr>
        <w:t xml:space="preserve">]</w:t>
      </w:r>
    </w:p>
    <w:p w:rsidR="00000000" w:rsidDel="00000000" w:rsidP="00000000" w:rsidRDefault="00000000" w:rsidRPr="00000000" w14:paraId="00000027">
      <w:pPr>
        <w:numPr>
          <w:ilvl w:val="0"/>
          <w:numId w:val="1"/>
        </w:numPr>
        <w:spacing w:after="240" w:before="240"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“That the City and County of San Francisco urges the passage of the "Neighbors Not Enemies Act" (H.R. 630; S. 193) and urges support from Senators Padilla and Schiff and Speaker Emerita Pelosi”</w:t>
      </w:r>
    </w:p>
    <w:p w:rsidR="00000000" w:rsidDel="00000000" w:rsidP="00000000" w:rsidRDefault="00000000" w:rsidRPr="00000000" w14:paraId="00000028">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9">
      <w:pPr>
        <w:spacing w:line="276" w:lineRule="auto"/>
        <w:rPr>
          <w:rFonts w:ascii="Roboto" w:cs="Roboto" w:eastAsia="Roboto" w:hAnsi="Roboto"/>
          <w:b w:val="1"/>
          <w:bCs w:val="1"/>
        </w:rPr>
      </w:pPr>
      <w:r w:rsidDel="00000000" w:rsidR="00000000" w:rsidRPr="00000000">
        <w:rPr>
          <w:rtl w:val="0"/>
        </w:rPr>
      </w:r>
    </w:p>
    <w:sectPr>
      <w:headerReference r:id="rId7"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CONDEMNING ALIEN ENEMIES ACT RESOLUTION TEMPLATE</w:t>
    </w:r>
    <w:r w:rsidDel="00000000" w:rsidR="00000000" w:rsidRPr="00000000">
      <w:rPr>
        <w:rtl w:val="0"/>
      </w:rPr>
    </w:r>
  </w:p>
  <w:p w:rsidR="00000000" w:rsidDel="00000000" w:rsidP="00000000" w:rsidRDefault="00000000" w:rsidRPr="00000000" w14:paraId="0000002B">
    <w:pPr>
      <w:spacing w:line="276" w:lineRule="auto"/>
      <w:jc w:val="center"/>
      <w:rPr>
        <w:rFonts w:ascii="Roboto" w:cs="Roboto" w:eastAsia="Roboto" w:hAnsi="Roboto"/>
        <w:b w:val="1"/>
        <w:bCs w:val="1"/>
      </w:rPr>
    </w:pPr>
    <w:hyperlink r:id="rId1">
      <w:r w:rsidDel="00000000" w:rsidR="00000000" w:rsidRPr="00000000">
        <w:rPr>
          <w:rFonts w:ascii="Roboto" w:cs="Roboto" w:eastAsia="Roboto" w:hAnsi="Roboto"/>
          <w:b w:val="1"/>
          <w:bCs w:val="1"/>
          <w:color w:val="1155cc"/>
          <w:u w:val="single"/>
          <w:rtl w:val="0"/>
        </w:rPr>
        <w:t xml:space="preserve">[Based on 2025 San Francisco City and County Resolution </w:t>
      </w:r>
    </w:hyperlink>
    <w:hyperlink r:id="rId2">
      <w:r w:rsidDel="00000000" w:rsidR="00000000" w:rsidRPr="00000000">
        <w:rPr>
          <w:rFonts w:ascii="Roboto" w:cs="Roboto" w:eastAsia="Roboto" w:hAnsi="Roboto"/>
          <w:b w:val="1"/>
          <w:bCs w:val="1"/>
          <w:color w:val="1155cc"/>
          <w:highlight w:val="white"/>
          <w:u w:val="single"/>
          <w:rtl w:val="0"/>
        </w:rPr>
        <w:t xml:space="preserve">250300</w:t>
      </w:r>
    </w:hyperlink>
    <w:hyperlink r:id="rId3">
      <w:r w:rsidDel="00000000" w:rsidR="00000000" w:rsidRPr="00000000">
        <w:rPr>
          <w:rFonts w:ascii="Roboto" w:cs="Roboto" w:eastAsia="Roboto" w:hAnsi="Roboto"/>
          <w:b w:val="1"/>
          <w:bCs w:val="1"/>
          <w:color w:val="1155cc"/>
          <w:u w:val="single"/>
          <w:rtl w:val="0"/>
        </w:rPr>
        <w:t xml:space="preserve">]</w:t>
      </w:r>
    </w:hyperlink>
    <w:r w:rsidDel="00000000" w:rsidR="00000000" w:rsidRPr="00000000">
      <w:rPr>
        <w:rtl w:val="0"/>
      </w:rPr>
    </w:r>
  </w:p>
  <w:p w:rsidR="00000000" w:rsidDel="00000000" w:rsidP="00000000" w:rsidRDefault="00000000" w:rsidRPr="00000000" w14:paraId="0000002C">
    <w:pPr>
      <w:spacing w:line="276" w:lineRule="auto"/>
      <w:jc w:val="left"/>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D">
    <w:pPr>
      <w:rPr>
        <w:rFonts w:ascii="Roboto" w:cs="Roboto" w:eastAsia="Roboto" w:hAnsi="Roboto"/>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pr.org/2025/09/03/nx-s1-5526773/trump-alien-enemies-act-venezuela-gangs-rul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sfgov.legistar.com/LegislationDetail.aspx?ID=7288352&amp;GUID=87598546-6F9E-47AF-945F-598EFE7B4432&amp;Options=ID%7CText%7C&amp;Search=alien+enemies+act" TargetMode="External"/><Relationship Id="rId2" Type="http://schemas.openxmlformats.org/officeDocument/2006/relationships/hyperlink" Target="https://sfgov.legistar.com/LegislationDetail.aspx?ID=7288352&amp;GUID=87598546-6F9E-47AF-945F-598EFE7B4432&amp;Options=ID%7CText%7C&amp;Search=alien+enemies+act" TargetMode="External"/><Relationship Id="rId3" Type="http://schemas.openxmlformats.org/officeDocument/2006/relationships/hyperlink" Target="https://sfgov.legistar.com/LegislationDetail.aspx?ID=7288352&amp;GUID=87598546-6F9E-47AF-945F-598EFE7B4432&amp;Options=ID%7CText%7C&amp;Search=alien+enemie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