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Fonts w:ascii="Roboto" w:cs="Roboto" w:eastAsia="Roboto" w:hAnsi="Roboto"/>
          <w:rtl w:val="0"/>
        </w:rPr>
        <w:t xml:space="preserve">City, county, or state legislators; state governor </w:t>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Summary </w:t>
      </w:r>
    </w:p>
    <w:p w:rsidR="00000000" w:rsidDel="00000000" w:rsidP="00000000" w:rsidRDefault="00000000" w:rsidRPr="00000000" w14:paraId="00000008">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9">
      <w:pPr>
        <w:spacing w:line="276" w:lineRule="auto"/>
        <w:rPr>
          <w:rFonts w:ascii="Roboto" w:cs="Roboto" w:eastAsia="Roboto" w:hAnsi="Roboto"/>
        </w:rPr>
      </w:pPr>
      <w:r w:rsidDel="00000000" w:rsidR="00000000" w:rsidRPr="00000000">
        <w:rPr>
          <w:rFonts w:ascii="Roboto" w:cs="Roboto" w:eastAsia="Roboto" w:hAnsi="Roboto"/>
          <w:rtl w:val="0"/>
        </w:rPr>
        <w:t xml:space="preserve">Under the Trump administration, ICE agents and CBP officers have abducted tens of thousands of people, separated families, and harmed law-abiding protestors for trying to protect their loved ones and neighbors. As it stands, affected individuals have few reliable ways to hold ICE accountable for their misconduct. </w:t>
      </w:r>
    </w:p>
    <w:p w:rsidR="00000000" w:rsidDel="00000000" w:rsidP="00000000" w:rsidRDefault="00000000" w:rsidRPr="00000000" w14:paraId="0000000A">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rPr>
      </w:pPr>
      <w:r w:rsidDel="00000000" w:rsidR="00000000" w:rsidRPr="00000000">
        <w:rPr>
          <w:rFonts w:ascii="Roboto" w:cs="Roboto" w:eastAsia="Roboto" w:hAnsi="Roboto"/>
          <w:rtl w:val="0"/>
        </w:rPr>
        <w:t xml:space="preserve">This model legislation would create a system for state and local jurisdictions to better document federal immigration enforcement abuses by gathering evidence of abuses and conducting public outreach to impacted communities. It would also require the designated agency to make recommendations on either law or policy changes to ensure community safety and protect residents from violations of their rights. </w:t>
      </w:r>
    </w:p>
    <w:p w:rsidR="00000000" w:rsidDel="00000000" w:rsidP="00000000" w:rsidRDefault="00000000" w:rsidRPr="00000000" w14:paraId="0000000C">
      <w:pPr>
        <w:spacing w:after="240" w:before="240" w:line="276" w:lineRule="auto"/>
        <w:rPr>
          <w:rFonts w:ascii="Roboto" w:cs="Roboto" w:eastAsia="Roboto" w:hAnsi="Roboto"/>
        </w:rPr>
      </w:pPr>
      <w:r w:rsidDel="00000000" w:rsidR="00000000" w:rsidRPr="00000000">
        <w:rPr>
          <w:rFonts w:ascii="Roboto" w:cs="Roboto" w:eastAsia="Roboto" w:hAnsi="Roboto"/>
          <w:rtl w:val="0"/>
        </w:rPr>
        <w:t xml:space="preserve">Similar legislation has been adopted in Illinois and </w:t>
      </w:r>
      <w:r w:rsidDel="00000000" w:rsidR="00000000" w:rsidRPr="00000000">
        <w:rPr>
          <w:rFonts w:ascii="Roboto" w:cs="Roboto" w:eastAsia="Roboto" w:hAnsi="Roboto"/>
          <w:rtl w:val="0"/>
        </w:rPr>
        <w:t xml:space="preserve">California</w:t>
      </w:r>
      <w:r w:rsidDel="00000000" w:rsidR="00000000" w:rsidRPr="00000000">
        <w:rPr>
          <w:rFonts w:ascii="Roboto" w:cs="Roboto" w:eastAsia="Roboto" w:hAnsi="Roboto"/>
          <w:rtl w:val="0"/>
        </w:rPr>
        <w:t xml:space="preserve">. </w:t>
      </w:r>
    </w:p>
    <w:p w:rsidR="00000000" w:rsidDel="00000000" w:rsidP="00000000" w:rsidRDefault="00000000" w:rsidRPr="00000000" w14:paraId="0000000D">
      <w:pPr>
        <w:spacing w:after="240" w:before="24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E">
      <w:pPr>
        <w:spacing w:after="240" w:before="240" w:line="276"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legislation on the following pages from start to finish. Then revise the highlighted sections to fit your community's needs, incorporating relevant statistics, anecdotes, and other local details. Make note of the starred sections, where more specific guidance can be found. </w:t>
      </w:r>
      <w:r w:rsidDel="00000000" w:rsidR="00000000" w:rsidRPr="00000000">
        <w:rPr>
          <w:rtl w:val="0"/>
        </w:rPr>
      </w:r>
    </w:p>
    <w:p w:rsidR="00000000" w:rsidDel="00000000" w:rsidP="00000000" w:rsidRDefault="00000000" w:rsidRPr="00000000" w14:paraId="0000000F">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B">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C">
      <w:pPr>
        <w:spacing w:line="276" w:lineRule="auto"/>
        <w:jc w:val="center"/>
        <w:rPr>
          <w:rFonts w:ascii="Roboto" w:cs="Roboto" w:eastAsia="Roboto" w:hAnsi="Roboto"/>
          <w:b w:val="1"/>
          <w:bCs w:val="1"/>
          <w:highlight w:val="yellow"/>
        </w:rPr>
      </w:pPr>
      <w:r w:rsidDel="00000000" w:rsidR="00000000" w:rsidRPr="00000000">
        <w:rPr>
          <w:rFonts w:ascii="Roboto" w:cs="Roboto" w:eastAsia="Roboto" w:hAnsi="Roboto"/>
          <w:b w:val="1"/>
          <w:bCs w:val="1"/>
          <w:highlight w:val="yellow"/>
          <w:rtl w:val="0"/>
        </w:rPr>
        <w:t xml:space="preserve">[LEGISLATION TITLE]</w:t>
      </w:r>
    </w:p>
    <w:p w:rsidR="00000000" w:rsidDel="00000000" w:rsidP="00000000" w:rsidRDefault="00000000" w:rsidRPr="00000000" w14:paraId="0000001D">
      <w:pPr>
        <w:spacing w:before="20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E">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1. Purpose and Findings</w:t>
      </w:r>
    </w:p>
    <w:p w:rsidR="00000000" w:rsidDel="00000000" w:rsidP="00000000" w:rsidRDefault="00000000" w:rsidRPr="00000000" w14:paraId="0000001F">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0">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Provide context on the federal government’s aggressive immigration enforcement actions in sanctuary jurisdictions.</w:t>
      </w:r>
    </w:p>
    <w:p w:rsidR="00000000" w:rsidDel="00000000" w:rsidP="00000000" w:rsidRDefault="00000000" w:rsidRPr="00000000" w14:paraId="00000021">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22">
      <w:pPr>
        <w:numPr>
          <w:ilvl w:val="0"/>
          <w:numId w:val="7"/>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“On January 20, 2025, President Trump signed Executive Order 14159, titled ‘Protecting the American People Against Invasion.’ The order targeted so-called ‘sanctuary jurisdictions’ and asserted that these jurisdictions ‘seek to interfere with the lawful exercise of Federal law enforcement operations.’ The order opened the doors for federal agents, including those from the U.S. Department of Homeland Security (DHS), to descend en masse and incite fear and chaos in cities across the United States.”</w:t>
      </w:r>
    </w:p>
    <w:p w:rsidR="00000000" w:rsidDel="00000000" w:rsidP="00000000" w:rsidRDefault="00000000" w:rsidRPr="00000000" w14:paraId="00000023">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4">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Cite instances of unlawful federal actions that have led to serious and fatal consequences.</w:t>
      </w:r>
    </w:p>
    <w:p w:rsidR="00000000" w:rsidDel="00000000" w:rsidP="00000000" w:rsidRDefault="00000000" w:rsidRPr="00000000" w14:paraId="00000025">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26">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“Deaths include the December 31, 2025 killing of Keith Porter Jr. by an off-duty Immigration and Customs Enforcement (ICE) agent in Los Angeles, California; the January 7, 2026 killing of Renee Nicole Good by an ICE agent in Minneapolis, Minnesota; and the January 24, 2026 killing of Alex Pretti by a Customs and Border Protection (CBP) agent, also in Minneapolis, Minnesota.” </w:t>
      </w:r>
    </w:p>
    <w:p w:rsidR="00000000" w:rsidDel="00000000" w:rsidP="00000000" w:rsidRDefault="00000000" w:rsidRPr="00000000" w14:paraId="00000027">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8">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Describe how federal agents’ actions have caused harm, fear of violence, and safety concerns.</w:t>
      </w:r>
    </w:p>
    <w:p w:rsidR="00000000" w:rsidDel="00000000" w:rsidP="00000000" w:rsidRDefault="00000000" w:rsidRPr="00000000" w14:paraId="00000029">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2A">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“Federal agents have employed unprecedented, militarized tactics, causing widespread fear and intimidation and resulting in the death and detention of United States citizens and people with legal status.” </w:t>
      </w:r>
    </w:p>
    <w:p w:rsidR="00000000" w:rsidDel="00000000" w:rsidP="00000000" w:rsidRDefault="00000000" w:rsidRPr="00000000" w14:paraId="0000002B">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2C">
      <w:pPr>
        <w:numPr>
          <w:ilvl w:val="0"/>
          <w:numId w:val="3"/>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“Throughout the country, federal law enforcement agents obscured their identities, covered their faces, and unlawfully abducted our neighbors, separated families, sent residents to repressive states, and disappeared them to for-profit detention centers. They have used tear gas, rubber bullets, and other riot control weapons to intimidate, detain, assault, and terrorize immigrant communities and protesters in direct violation of constitutional rights, due process, and the rule of law.”</w:t>
      </w:r>
    </w:p>
    <w:p w:rsidR="00000000" w:rsidDel="00000000" w:rsidP="00000000" w:rsidRDefault="00000000" w:rsidRPr="00000000" w14:paraId="0000002D">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E">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Research and describe instances of unlawful federal actions in your locality and its impact on local residents.</w:t>
      </w:r>
    </w:p>
    <w:p w:rsidR="00000000" w:rsidDel="00000000" w:rsidP="00000000" w:rsidRDefault="00000000" w:rsidRPr="00000000" w14:paraId="0000002F">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30">
      <w:pPr>
        <w:numPr>
          <w:ilvl w:val="0"/>
          <w:numId w:val="4"/>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Examples: </w:t>
      </w:r>
    </w:p>
    <w:p w:rsidR="00000000" w:rsidDel="00000000" w:rsidP="00000000" w:rsidRDefault="00000000" w:rsidRPr="00000000" w14:paraId="00000031">
      <w:pPr>
        <w:numPr>
          <w:ilvl w:val="1"/>
          <w:numId w:val="4"/>
        </w:numPr>
        <w:spacing w:line="276" w:lineRule="auto"/>
        <w:ind w:left="1440" w:hanging="360"/>
        <w:rPr>
          <w:rFonts w:ascii="Roboto" w:cs="Roboto" w:eastAsia="Roboto" w:hAnsi="Roboto"/>
        </w:rPr>
      </w:pPr>
      <w:r w:rsidDel="00000000" w:rsidR="00000000" w:rsidRPr="00000000">
        <w:rPr>
          <w:rFonts w:ascii="Roboto" w:cs="Roboto" w:eastAsia="Roboto" w:hAnsi="Roboto"/>
          <w:rtl w:val="0"/>
        </w:rPr>
        <w:t xml:space="preserve">“On July 8, 2025, masked federal agents pepper-sprayed, shoved, and drove through a group of about 20 protestors outside an immigration court in San Francisco causing several serious injuries;</w:t>
      </w:r>
    </w:p>
    <w:p w:rsidR="00000000" w:rsidDel="00000000" w:rsidP="00000000" w:rsidRDefault="00000000" w:rsidRPr="00000000" w14:paraId="00000032">
      <w:pPr>
        <w:numPr>
          <w:ilvl w:val="1"/>
          <w:numId w:val="4"/>
        </w:numPr>
        <w:spacing w:line="276" w:lineRule="auto"/>
        <w:ind w:left="1440" w:hanging="360"/>
        <w:rPr>
          <w:rFonts w:ascii="Roboto" w:cs="Roboto" w:eastAsia="Roboto" w:hAnsi="Roboto"/>
        </w:rPr>
      </w:pPr>
      <w:r w:rsidDel="00000000" w:rsidR="00000000" w:rsidRPr="00000000">
        <w:rPr>
          <w:rFonts w:ascii="Roboto" w:cs="Roboto" w:eastAsia="Roboto" w:hAnsi="Roboto"/>
          <w:rtl w:val="0"/>
        </w:rPr>
        <w:t xml:space="preserve">On July 21, 2025, federal agents arrested a U.S. green cardholder at San Francisco International Airport and held him for eight days without access to legal counsel and over three months in detention in Texas;</w:t>
      </w:r>
    </w:p>
    <w:p w:rsidR="00000000" w:rsidDel="00000000" w:rsidP="00000000" w:rsidRDefault="00000000" w:rsidRPr="00000000" w14:paraId="00000033">
      <w:pPr>
        <w:numPr>
          <w:ilvl w:val="1"/>
          <w:numId w:val="4"/>
        </w:numPr>
        <w:spacing w:line="276" w:lineRule="auto"/>
        <w:ind w:left="1440" w:hanging="360"/>
        <w:rPr>
          <w:rFonts w:ascii="Roboto" w:cs="Roboto" w:eastAsia="Roboto" w:hAnsi="Roboto"/>
        </w:rPr>
      </w:pPr>
      <w:r w:rsidDel="00000000" w:rsidR="00000000" w:rsidRPr="00000000">
        <w:rPr>
          <w:rFonts w:ascii="Roboto" w:cs="Roboto" w:eastAsia="Roboto" w:hAnsi="Roboto"/>
          <w:rtl w:val="0"/>
        </w:rPr>
        <w:t xml:space="preserve">On August 8, 2025, masked federal agents violently detained two U.S. citizens protesting outside ICE’s field office in San Francisco;</w:t>
      </w:r>
    </w:p>
    <w:p w:rsidR="00000000" w:rsidDel="00000000" w:rsidP="00000000" w:rsidRDefault="00000000" w:rsidRPr="00000000" w14:paraId="00000034">
      <w:pPr>
        <w:numPr>
          <w:ilvl w:val="1"/>
          <w:numId w:val="4"/>
        </w:numPr>
        <w:spacing w:line="276" w:lineRule="auto"/>
        <w:ind w:left="1440" w:hanging="360"/>
        <w:rPr>
          <w:rFonts w:ascii="Roboto" w:cs="Roboto" w:eastAsia="Roboto" w:hAnsi="Roboto"/>
        </w:rPr>
      </w:pPr>
      <w:r w:rsidDel="00000000" w:rsidR="00000000" w:rsidRPr="00000000">
        <w:rPr>
          <w:rFonts w:ascii="Roboto" w:cs="Roboto" w:eastAsia="Roboto" w:hAnsi="Roboto"/>
          <w:rtl w:val="0"/>
        </w:rPr>
        <w:t xml:space="preserve">On August 20, 2025, masked federal agents grabbed a reporter by the throat, pushed and sprayed him with a chemical irritant while reporting on protests outside an immigration court in San Francisco;</w:t>
      </w:r>
    </w:p>
    <w:p w:rsidR="00000000" w:rsidDel="00000000" w:rsidP="00000000" w:rsidRDefault="00000000" w:rsidRPr="00000000" w14:paraId="00000035">
      <w:pPr>
        <w:numPr>
          <w:ilvl w:val="1"/>
          <w:numId w:val="4"/>
        </w:numPr>
        <w:spacing w:line="276" w:lineRule="auto"/>
        <w:ind w:left="1440" w:hanging="360"/>
        <w:rPr>
          <w:rFonts w:ascii="Roboto" w:cs="Roboto" w:eastAsia="Roboto" w:hAnsi="Roboto"/>
        </w:rPr>
      </w:pPr>
      <w:r w:rsidDel="00000000" w:rsidR="00000000" w:rsidRPr="00000000">
        <w:rPr>
          <w:rFonts w:ascii="Roboto" w:cs="Roboto" w:eastAsia="Roboto" w:hAnsi="Roboto"/>
          <w:rtl w:val="0"/>
        </w:rPr>
        <w:t xml:space="preserve">From May to November 2025, ICE arrested hundreds of asylum seekers and immigrants in violation of due process protections outside of courtrooms and during routine check-ins with immigration officials, detaining them under inhumane conditions.”</w:t>
      </w:r>
    </w:p>
    <w:p w:rsidR="00000000" w:rsidDel="00000000" w:rsidP="00000000" w:rsidRDefault="00000000" w:rsidRPr="00000000" w14:paraId="0000003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7">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Discuss the role state and local governments must play to protect its residents from unlawful federal actions, including any local jurisdictions that have taken action to record federal abuses.</w:t>
      </w:r>
    </w:p>
    <w:p w:rsidR="00000000" w:rsidDel="00000000" w:rsidP="00000000" w:rsidRDefault="00000000" w:rsidRPr="00000000" w14:paraId="00000038">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39">
      <w:pPr>
        <w:numPr>
          <w:ilvl w:val="0"/>
          <w:numId w:val="8"/>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“State and local governments can and must act to protect residents, students, and workers against illegal and dangerous activity, even when that activity is carried out by the federal government. State and local governments have the right and duty to defend residents from unlawful conduct and support its residents in their fight for justice against unlawful federal actions.” </w:t>
      </w:r>
    </w:p>
    <w:p w:rsidR="00000000" w:rsidDel="00000000" w:rsidP="00000000" w:rsidRDefault="00000000" w:rsidRPr="00000000" w14:paraId="0000003A">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B">
      <w:pPr>
        <w:numPr>
          <w:ilvl w:val="0"/>
          <w:numId w:val="8"/>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“On October 23, 2025, Governor Pritzker of Illinois issued an executive order establishing the Illinois Accountability Commission to create a public record of the conduct of federal agents during ‘Operation Midway Blitz’ and the Trump Administration’s military-style operations throughout the Chicagoland area.” </w:t>
      </w:r>
    </w:p>
    <w:p w:rsidR="00000000" w:rsidDel="00000000" w:rsidP="00000000" w:rsidRDefault="00000000" w:rsidRPr="00000000" w14:paraId="0000003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3D">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2. Establishing a Record of Federal Immigration Enforcement Abuses</w:t>
      </w:r>
    </w:p>
    <w:p w:rsidR="00000000" w:rsidDel="00000000" w:rsidP="00000000" w:rsidRDefault="00000000" w:rsidRPr="00000000" w14:paraId="0000003E">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3F">
      <w:pPr>
        <w:spacing w:line="276"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Department,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shall:</w:t>
      </w:r>
    </w:p>
    <w:p w:rsidR="00000000" w:rsidDel="00000000" w:rsidP="00000000" w:rsidRDefault="00000000" w:rsidRPr="00000000" w14:paraId="00000040">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Gather publicly-available evidence, including, but not limited to, video recordings, documenting the actions of federal officers, including, but not limited to, agents of DHS components (such as ICE and CBP) and other federal agents working in coordination with DHS.</w:t>
      </w:r>
    </w:p>
    <w:p w:rsidR="00000000" w:rsidDel="00000000" w:rsidP="00000000" w:rsidRDefault="00000000" w:rsidRPr="00000000" w14:paraId="00000041">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2">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Gather additional information and documentation, to the extent possible, of the actions of federal law enforcement and the impact of those actions, including through testimony.</w:t>
      </w:r>
    </w:p>
    <w:p w:rsidR="00000000" w:rsidDel="00000000" w:rsidP="00000000" w:rsidRDefault="00000000" w:rsidRPr="00000000" w14:paraId="00000043">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4">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Create a public record, including through public hearings, to document the conduct of federal officers deployed in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or 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after January 20, 2025 and its impact on San Francisco residents.</w:t>
      </w:r>
    </w:p>
    <w:p w:rsidR="00000000" w:rsidDel="00000000" w:rsidP="00000000" w:rsidRDefault="00000000" w:rsidRPr="00000000" w14:paraId="00000045">
      <w:pPr>
        <w:spacing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6">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Analyze the documented conduct of federal officers deployed in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or 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after </w:t>
      </w:r>
      <w:r w:rsidDel="00000000" w:rsidR="00000000" w:rsidRPr="00000000">
        <w:rPr>
          <w:rFonts w:ascii="Roboto" w:cs="Roboto" w:eastAsia="Roboto" w:hAnsi="Roboto"/>
          <w:rtl w:val="0"/>
        </w:rPr>
        <w:t xml:space="preserve">January 20, 2025 a</w:t>
      </w:r>
      <w:r w:rsidDel="00000000" w:rsidR="00000000" w:rsidRPr="00000000">
        <w:rPr>
          <w:rFonts w:ascii="Roboto" w:cs="Roboto" w:eastAsia="Roboto" w:hAnsi="Roboto"/>
          <w:rtl w:val="0"/>
        </w:rPr>
        <w:t xml:space="preserve">nd identify conduct requiring the most urgent corrective action and remediation based on its impact on the community and the egregiousness of the conduct.</w:t>
      </w:r>
    </w:p>
    <w:p w:rsidR="00000000" w:rsidDel="00000000" w:rsidP="00000000" w:rsidRDefault="00000000" w:rsidRPr="00000000" w14:paraId="00000047">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8">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Make recommendations for law or policy changes to ensure greater protection for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or 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residents from violations of their rights and to ensure community safety.</w:t>
      </w:r>
    </w:p>
    <w:p w:rsidR="00000000" w:rsidDel="00000000" w:rsidP="00000000" w:rsidRDefault="00000000" w:rsidRPr="00000000" w14:paraId="00000049">
      <w:pPr>
        <w:spacing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A">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Provide, not later than January 31, </w:t>
      </w:r>
      <w:r w:rsidDel="00000000" w:rsidR="00000000" w:rsidRPr="00000000">
        <w:rPr>
          <w:rFonts w:ascii="Roboto" w:cs="Roboto" w:eastAsia="Roboto" w:hAnsi="Roboto"/>
          <w:rtl w:val="0"/>
        </w:rPr>
        <w:t xml:space="preserve">2027</w:t>
      </w:r>
      <w:r w:rsidDel="00000000" w:rsidR="00000000" w:rsidRPr="00000000">
        <w:rPr>
          <w:rFonts w:ascii="Roboto" w:cs="Roboto" w:eastAsia="Roboto" w:hAnsi="Roboto"/>
          <w:rtl w:val="0"/>
        </w:rPr>
        <w:t xml:space="preserve">, an initial status report outlining its findings and recommendations to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elected leadership and immigrant-serving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w:t>
      </w:r>
    </w:p>
    <w:p w:rsidR="00000000" w:rsidDel="00000000" w:rsidP="00000000" w:rsidRDefault="00000000" w:rsidRPr="00000000" w14:paraId="0000004B">
      <w:pPr>
        <w:spacing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4C">
      <w:pPr>
        <w:numPr>
          <w:ilvl w:val="0"/>
          <w:numId w:val="6"/>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Refer, as appropriate, information or reports of potential violations of law to the local or state agencies or entities responsible for investigating or enforcing such violations.</w:t>
      </w:r>
    </w:p>
    <w:p w:rsidR="00000000" w:rsidDel="00000000" w:rsidP="00000000" w:rsidRDefault="00000000" w:rsidRPr="00000000" w14:paraId="0000004D">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E">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3. Public and Expert Engagement and Outreach</w:t>
      </w:r>
    </w:p>
    <w:p w:rsidR="00000000" w:rsidDel="00000000" w:rsidP="00000000" w:rsidRDefault="00000000" w:rsidRPr="00000000" w14:paraId="0000004F">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50">
      <w:pPr>
        <w:spacing w:line="276" w:lineRule="auto"/>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Department,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shall:</w:t>
      </w:r>
    </w:p>
    <w:p w:rsidR="00000000" w:rsidDel="00000000" w:rsidP="00000000" w:rsidRDefault="00000000" w:rsidRPr="00000000" w14:paraId="00000051">
      <w:pPr>
        <w:spacing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52">
      <w:pPr>
        <w:numPr>
          <w:ilvl w:val="0"/>
          <w:numId w:val="2"/>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Work with subject matter experts, city staff, and community-based networks and organizations, to ensure it has access to appropriate expertise to conduct its review and analysis of the actions of federal law enforcement, including:</w:t>
      </w:r>
    </w:p>
    <w:p w:rsidR="00000000" w:rsidDel="00000000" w:rsidP="00000000" w:rsidRDefault="00000000" w:rsidRPr="00000000" w14:paraId="00000053">
      <w:pPr>
        <w:numPr>
          <w:ilvl w:val="1"/>
          <w:numId w:val="2"/>
        </w:numPr>
        <w:ind w:left="1440" w:hanging="360"/>
        <w:rPr>
          <w:rFonts w:ascii="Roboto" w:cs="Roboto" w:eastAsia="Roboto" w:hAnsi="Roboto"/>
          <w:b w:val="1"/>
          <w:bCs w:val="1"/>
          <w:highlight w:val="yellow"/>
        </w:rPr>
      </w:pPr>
      <w:r w:rsidDel="00000000" w:rsidR="00000000" w:rsidRPr="00000000">
        <w:rPr>
          <w:rFonts w:ascii="Roboto" w:cs="Roboto" w:eastAsia="Roboto" w:hAnsi="Roboto"/>
          <w:b w:val="1"/>
          <w:bCs w:val="1"/>
          <w:highlight w:val="yellow"/>
          <w:rtl w:val="0"/>
        </w:rPr>
        <w:t xml:space="preserve">[List immigrant-serving agencies and community-based networks, coalitions, and organizations.]</w:t>
      </w:r>
    </w:p>
    <w:p w:rsidR="00000000" w:rsidDel="00000000" w:rsidP="00000000" w:rsidRDefault="00000000" w:rsidRPr="00000000" w14:paraId="00000054">
      <w:pPr>
        <w:ind w:left="1440" w:firstLine="0"/>
        <w:rPr>
          <w:rFonts w:ascii="Roboto" w:cs="Roboto" w:eastAsia="Roboto" w:hAnsi="Roboto"/>
          <w:b w:val="1"/>
          <w:bCs w:val="1"/>
          <w:highlight w:val="yellow"/>
        </w:rPr>
      </w:pPr>
      <w:r w:rsidDel="00000000" w:rsidR="00000000" w:rsidRPr="00000000">
        <w:rPr>
          <w:rtl w:val="0"/>
        </w:rPr>
      </w:r>
    </w:p>
    <w:p w:rsidR="00000000" w:rsidDel="00000000" w:rsidP="00000000" w:rsidRDefault="00000000" w:rsidRPr="00000000" w14:paraId="00000055">
      <w:pPr>
        <w:numPr>
          <w:ilvl w:val="0"/>
          <w:numId w:val="2"/>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Host quarterly public hearings to invite information, documentation, and testimony on the actions of federal law enforcement and the impact of those actions.</w:t>
      </w:r>
    </w:p>
    <w:p w:rsidR="00000000" w:rsidDel="00000000" w:rsidP="00000000" w:rsidRDefault="00000000" w:rsidRPr="00000000" w14:paraId="00000056">
      <w:pPr>
        <w:numPr>
          <w:ilvl w:val="1"/>
          <w:numId w:val="2"/>
        </w:numPr>
        <w:ind w:left="1440" w:hanging="360"/>
      </w:pPr>
      <w:r w:rsidDel="00000000" w:rsidR="00000000" w:rsidRPr="00000000">
        <w:rPr>
          <w:rFonts w:ascii="Roboto" w:cs="Roboto" w:eastAsia="Roboto" w:hAnsi="Roboto"/>
          <w:rtl w:val="0"/>
        </w:rPr>
        <w:t xml:space="preserve">Public hearings should offer multilingual interpretation and translation in the top 12 languages spoken by Limited English Proficient residents in </w:t>
      </w:r>
      <w:r w:rsidDel="00000000" w:rsidR="00000000" w:rsidRPr="00000000">
        <w:rPr>
          <w:rFonts w:ascii="Roboto" w:cs="Roboto" w:eastAsia="Roboto" w:hAnsi="Roboto"/>
          <w:b w:val="1"/>
          <w:bCs w:val="1"/>
          <w:highlight w:val="yellow"/>
          <w:rtl w:val="0"/>
        </w:rPr>
        <w:t xml:space="preserve">[State, County, City]</w:t>
      </w:r>
      <w:r w:rsidDel="00000000" w:rsidR="00000000" w:rsidRPr="00000000">
        <w:rPr>
          <w:rFonts w:ascii="Roboto" w:cs="Roboto" w:eastAsia="Roboto" w:hAnsi="Roboto"/>
          <w:highlight w:val="yellow"/>
          <w:rtl w:val="0"/>
        </w:rPr>
        <w:t xml:space="preserve">.</w:t>
      </w:r>
    </w:p>
    <w:p w:rsidR="00000000" w:rsidDel="00000000" w:rsidP="00000000" w:rsidRDefault="00000000" w:rsidRPr="00000000" w14:paraId="00000057">
      <w:pPr>
        <w:numPr>
          <w:ilvl w:val="1"/>
          <w:numId w:val="2"/>
        </w:numPr>
        <w:ind w:left="1440" w:hanging="360"/>
        <w:rPr>
          <w:rFonts w:ascii="Roboto" w:cs="Roboto" w:eastAsia="Roboto" w:hAnsi="Roboto"/>
        </w:rPr>
      </w:pPr>
      <w:r w:rsidDel="00000000" w:rsidR="00000000" w:rsidRPr="00000000">
        <w:rPr>
          <w:rFonts w:ascii="Roboto" w:cs="Roboto" w:eastAsia="Roboto" w:hAnsi="Roboto"/>
          <w:rtl w:val="0"/>
        </w:rPr>
        <w:t xml:space="preserve">Data privacy protections should be clearly communicated to those participating and submitting documentation during public hearings.</w:t>
      </w:r>
    </w:p>
    <w:p w:rsidR="00000000" w:rsidDel="00000000" w:rsidP="00000000" w:rsidRDefault="00000000" w:rsidRPr="00000000" w14:paraId="00000058">
      <w:pPr>
        <w:ind w:left="1440" w:firstLine="0"/>
        <w:rPr>
          <w:rFonts w:ascii="Roboto" w:cs="Roboto" w:eastAsia="Roboto" w:hAnsi="Roboto"/>
        </w:rPr>
      </w:pPr>
      <w:r w:rsidDel="00000000" w:rsidR="00000000" w:rsidRPr="00000000">
        <w:rPr>
          <w:rtl w:val="0"/>
        </w:rPr>
      </w:r>
    </w:p>
    <w:p w:rsidR="00000000" w:rsidDel="00000000" w:rsidP="00000000" w:rsidRDefault="00000000" w:rsidRPr="00000000" w14:paraId="00000059">
      <w:pPr>
        <w:numPr>
          <w:ilvl w:val="0"/>
          <w:numId w:val="2"/>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Conduct tailored outreach to impacted U.S. citizens, residents with legal status, including nonimmigrant and immigrant visaholders, and residents without legal status and collaborate with community groups to ensure broad reach and diverse perspectives.</w:t>
      </w:r>
    </w:p>
    <w:p w:rsidR="00000000" w:rsidDel="00000000" w:rsidP="00000000" w:rsidRDefault="00000000" w:rsidRPr="00000000" w14:paraId="0000005A">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5B">
      <w:pPr>
        <w:numPr>
          <w:ilvl w:val="0"/>
          <w:numId w:val="2"/>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Public and expert engagement, quarterly public hearings, and outreach requirements will sunset on J</w:t>
      </w:r>
      <w:r w:rsidDel="00000000" w:rsidR="00000000" w:rsidRPr="00000000">
        <w:rPr>
          <w:rFonts w:ascii="Roboto" w:cs="Roboto" w:eastAsia="Roboto" w:hAnsi="Roboto"/>
          <w:rtl w:val="0"/>
        </w:rPr>
        <w:t xml:space="preserve">anuary 20, 2029 </w:t>
      </w:r>
      <w:r w:rsidDel="00000000" w:rsidR="00000000" w:rsidRPr="00000000">
        <w:rPr>
          <w:rFonts w:ascii="Roboto" w:cs="Roboto" w:eastAsia="Roboto" w:hAnsi="Roboto"/>
          <w:rtl w:val="0"/>
        </w:rPr>
        <w:t xml:space="preserve">unless the Board agrees to extend the requirements.</w:t>
      </w:r>
    </w:p>
    <w:p w:rsidR="00000000" w:rsidDel="00000000" w:rsidP="00000000" w:rsidRDefault="00000000" w:rsidRPr="00000000" w14:paraId="0000005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D">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4. Reporting</w:t>
      </w:r>
    </w:p>
    <w:p w:rsidR="00000000" w:rsidDel="00000000" w:rsidP="00000000" w:rsidRDefault="00000000" w:rsidRPr="00000000" w14:paraId="0000005E">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5F">
      <w:pPr>
        <w:numPr>
          <w:ilvl w:val="0"/>
          <w:numId w:val="5"/>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Within 120 days of the passage of this ordinance,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Department,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will submit the public and expert engagement and outreach plan to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elected leadership and immigrant-serving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w:t>
      </w:r>
    </w:p>
    <w:p w:rsidR="00000000" w:rsidDel="00000000" w:rsidP="00000000" w:rsidRDefault="00000000" w:rsidRPr="00000000" w14:paraId="00000060">
      <w:pPr>
        <w:spacing w:line="276"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61">
      <w:pPr>
        <w:numPr>
          <w:ilvl w:val="0"/>
          <w:numId w:val="5"/>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Within the first year of the passage of this ordinance,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Department,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will submit an initial status report to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elected leadership and immigrant-serving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w:t>
      </w:r>
    </w:p>
    <w:p w:rsidR="00000000" w:rsidDel="00000000" w:rsidP="00000000" w:rsidRDefault="00000000" w:rsidRPr="00000000" w14:paraId="00000062">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3">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5. Annual Tracking and Summary Reports</w:t>
      </w:r>
    </w:p>
    <w:p w:rsidR="00000000" w:rsidDel="00000000" w:rsidP="00000000" w:rsidRDefault="00000000" w:rsidRPr="00000000" w14:paraId="0000006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65">
      <w:pPr>
        <w:numPr>
          <w:ilvl w:val="0"/>
          <w:numId w:val="1"/>
        </w:numPr>
        <w:spacing w:line="27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Department,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will submit an annual report to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elected leadership and immigrant-serving agency or commission</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that details:</w:t>
      </w:r>
    </w:p>
    <w:p w:rsidR="00000000" w:rsidDel="00000000" w:rsidP="00000000" w:rsidRDefault="00000000" w:rsidRPr="00000000" w14:paraId="00000066">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Total number of records collected for that year;</w:t>
      </w:r>
    </w:p>
    <w:p w:rsidR="00000000" w:rsidDel="00000000" w:rsidP="00000000" w:rsidRDefault="00000000" w:rsidRPr="00000000" w14:paraId="00000067">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Total number of individuals who submitted documentation;</w:t>
      </w:r>
    </w:p>
    <w:p w:rsidR="00000000" w:rsidDel="00000000" w:rsidP="00000000" w:rsidRDefault="00000000" w:rsidRPr="00000000" w14:paraId="00000068">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Total number of individuals that participated in the public hearings;</w:t>
      </w:r>
    </w:p>
    <w:p w:rsidR="00000000" w:rsidDel="00000000" w:rsidP="00000000" w:rsidRDefault="00000000" w:rsidRPr="00000000" w14:paraId="00000069">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Language services offered during each hearing;</w:t>
      </w:r>
    </w:p>
    <w:p w:rsidR="00000000" w:rsidDel="00000000" w:rsidP="00000000" w:rsidRDefault="00000000" w:rsidRPr="00000000" w14:paraId="0000006A">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Summary of outreach activities and organizations engaged;</w:t>
      </w:r>
    </w:p>
    <w:p w:rsidR="00000000" w:rsidDel="00000000" w:rsidP="00000000" w:rsidRDefault="00000000" w:rsidRPr="00000000" w14:paraId="0000006B">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Analysis of the documented conduct of federal officers deployed in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after </w:t>
      </w:r>
      <w:r w:rsidDel="00000000" w:rsidR="00000000" w:rsidRPr="00000000">
        <w:rPr>
          <w:rFonts w:ascii="Roboto" w:cs="Roboto" w:eastAsia="Roboto" w:hAnsi="Roboto"/>
          <w:rtl w:val="0"/>
        </w:rPr>
        <w:t xml:space="preserve">January 20, 2025</w:t>
      </w:r>
      <w:r w:rsidDel="00000000" w:rsidR="00000000" w:rsidRPr="00000000">
        <w:rPr>
          <w:rFonts w:ascii="Roboto" w:cs="Roboto" w:eastAsia="Roboto" w:hAnsi="Roboto"/>
          <w:rtl w:val="0"/>
        </w:rPr>
        <w:t xml:space="preserve">, highlighting conduct requiring the most urgent corrective action and remediation based on its impact on the community and the egregiousness of the conduct;</w:t>
      </w:r>
    </w:p>
    <w:p w:rsidR="00000000" w:rsidDel="00000000" w:rsidP="00000000" w:rsidRDefault="00000000" w:rsidRPr="00000000" w14:paraId="0000006C">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Recommendations for law or policy changes to ensure greater protection for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residents from violations of their rights and to ensure community safety;</w:t>
      </w:r>
    </w:p>
    <w:p w:rsidR="00000000" w:rsidDel="00000000" w:rsidP="00000000" w:rsidRDefault="00000000" w:rsidRPr="00000000" w14:paraId="0000006D">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Summary of referrals, as appropriate, information or reports of potential violations of law to the agencies or entities responsible for investigating or enforcing such violations.</w:t>
      </w:r>
    </w:p>
    <w:p w:rsidR="00000000" w:rsidDel="00000000" w:rsidP="00000000" w:rsidRDefault="00000000" w:rsidRPr="00000000" w14:paraId="0000006E">
      <w:pPr>
        <w:numPr>
          <w:ilvl w:val="1"/>
          <w:numId w:val="1"/>
        </w:numPr>
        <w:spacing w:line="276"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The annual report requirement will sunset on </w:t>
      </w:r>
      <w:r w:rsidDel="00000000" w:rsidR="00000000" w:rsidRPr="00000000">
        <w:rPr>
          <w:rFonts w:ascii="Roboto" w:cs="Roboto" w:eastAsia="Roboto" w:hAnsi="Roboto"/>
          <w:rtl w:val="0"/>
        </w:rPr>
        <w:t xml:space="preserve">January 20, 2029 </w:t>
      </w:r>
      <w:r w:rsidDel="00000000" w:rsidR="00000000" w:rsidRPr="00000000">
        <w:rPr>
          <w:rFonts w:ascii="Roboto" w:cs="Roboto" w:eastAsia="Roboto" w:hAnsi="Roboto"/>
          <w:rtl w:val="0"/>
        </w:rPr>
        <w:t xml:space="preserve">unless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County, City elected leadership</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agrees to extend the requirement.</w:t>
      </w:r>
      <w:r w:rsidDel="00000000" w:rsidR="00000000" w:rsidRPr="00000000">
        <w:rPr>
          <w:rtl w:val="0"/>
        </w:rPr>
      </w:r>
    </w:p>
    <w:p w:rsidR="00000000" w:rsidDel="00000000" w:rsidP="00000000" w:rsidRDefault="00000000" w:rsidRPr="00000000" w14:paraId="0000006F">
      <w:pPr>
        <w:spacing w:line="276" w:lineRule="auto"/>
        <w:rPr>
          <w:rFonts w:ascii="Roboto" w:cs="Roboto" w:eastAsia="Roboto" w:hAnsi="Roboto"/>
        </w:rPr>
      </w:pPr>
      <w:r w:rsidDel="00000000" w:rsidR="00000000" w:rsidRPr="00000000">
        <w:rPr>
          <w:rtl w:val="0"/>
        </w:rPr>
      </w:r>
    </w:p>
    <w:sectPr>
      <w:headerReference r:id="rId6"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LOCAL PROTOCOLS FOR DHS ABUSES LEGISLATION TEMPLATE</w:t>
    </w:r>
  </w:p>
  <w:p w:rsidR="00000000" w:rsidDel="00000000" w:rsidP="00000000" w:rsidRDefault="00000000" w:rsidRPr="00000000" w14:paraId="00000071">
    <w:pPr>
      <w:spacing w:line="276" w:lineRule="auto"/>
      <w:jc w:val="center"/>
      <w:rPr>
        <w:rFonts w:ascii="Roboto" w:cs="Roboto" w:eastAsia="Roboto" w:hAnsi="Roboto"/>
        <w:b w:val="1"/>
        <w:bCs w:val="1"/>
      </w:rPr>
    </w:pPr>
    <w:hyperlink r:id="rId1">
      <w:r w:rsidDel="00000000" w:rsidR="00000000" w:rsidRPr="00000000">
        <w:rPr>
          <w:rFonts w:ascii="Roboto" w:cs="Roboto" w:eastAsia="Roboto" w:hAnsi="Roboto"/>
          <w:b w:val="1"/>
          <w:bCs w:val="1"/>
          <w:color w:val="1155cc"/>
          <w:u w:val="single"/>
          <w:rtl w:val="0"/>
        </w:rPr>
        <w:t xml:space="preserve">[Based on 2025 Illinois Executive Order 2025-06]</w:t>
      </w:r>
    </w:hyperlink>
    <w:r w:rsidDel="00000000" w:rsidR="00000000" w:rsidRPr="00000000">
      <w:rPr>
        <w:rtl w:val="0"/>
      </w:rPr>
    </w:r>
  </w:p>
  <w:p w:rsidR="00000000" w:rsidDel="00000000" w:rsidP="00000000" w:rsidRDefault="00000000" w:rsidRPr="00000000" w14:paraId="00000072">
    <w:pPr>
      <w:spacing w:line="276" w:lineRule="auto"/>
      <w:jc w:val="left"/>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73">
    <w:pP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ilac.illinois.gov/about-ilac/executive-ord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