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Last updated July 8, 2026 </w:t>
      </w:r>
    </w:p>
    <w:p w:rsidR="00000000" w:rsidDel="00000000" w:rsidP="00000000" w:rsidRDefault="00000000" w:rsidRPr="00000000" w14:paraId="00000002">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Target </w:t>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Fonts w:ascii="Roboto" w:cs="Roboto" w:eastAsia="Roboto" w:hAnsi="Roboto"/>
          <w:rtl w:val="0"/>
        </w:rPr>
        <w:t xml:space="preserve">City, county, or state legislators  </w:t>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7">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Summary </w:t>
      </w:r>
    </w:p>
    <w:p w:rsidR="00000000" w:rsidDel="00000000" w:rsidP="00000000" w:rsidRDefault="00000000" w:rsidRPr="00000000" w14:paraId="00000008">
      <w:pPr>
        <w:spacing w:after="240" w:before="240" w:lineRule="auto"/>
        <w:rPr>
          <w:rFonts w:ascii="Roboto" w:cs="Roboto" w:eastAsia="Roboto" w:hAnsi="Roboto"/>
        </w:rPr>
      </w:pPr>
      <w:r w:rsidDel="00000000" w:rsidR="00000000" w:rsidRPr="00000000">
        <w:rPr>
          <w:rtl w:val="0"/>
        </w:rPr>
        <w:t xml:space="preserve">ICE, CBP, and other federal immigration enforcement agencies are using local government properties such as parking lots or vacant lots for staging grounds for immigration enforcement actions or conducting immigration raids at public parks. This deters immigrant families and other local residents from public places. </w:t>
      </w:r>
      <w:r w:rsidDel="00000000" w:rsidR="00000000" w:rsidRPr="00000000">
        <w:rPr>
          <w:rtl w:val="0"/>
        </w:rPr>
      </w:r>
    </w:p>
    <w:p w:rsidR="00000000" w:rsidDel="00000000" w:rsidP="00000000" w:rsidRDefault="00000000" w:rsidRPr="00000000" w14:paraId="00000009">
      <w:pPr>
        <w:spacing w:after="240" w:before="240" w:lineRule="auto"/>
        <w:rPr>
          <w:rFonts w:ascii="Roboto" w:cs="Roboto" w:eastAsia="Roboto" w:hAnsi="Roboto"/>
        </w:rPr>
      </w:pPr>
      <w:r w:rsidDel="00000000" w:rsidR="00000000" w:rsidRPr="00000000">
        <w:rPr>
          <w:rtl w:val="0"/>
        </w:rPr>
        <w:t xml:space="preserve">This model legislation would establish clear boundaries on where ICE can operate in a state, county, or city by restricting the use of local government property unless it is approved by the appropriate local agency for a purpose benefitting the public. It explicitly states that using local government property to assist with immigration enforcement is not authorized and does not benefit the public. </w:t>
      </w:r>
      <w:r w:rsidDel="00000000" w:rsidR="00000000" w:rsidRPr="00000000">
        <w:rPr>
          <w:rtl w:val="0"/>
        </w:rPr>
      </w:r>
    </w:p>
    <w:p w:rsidR="00000000" w:rsidDel="00000000" w:rsidP="00000000" w:rsidRDefault="00000000" w:rsidRPr="00000000" w14:paraId="0000000A">
      <w:pPr>
        <w:spacing w:after="240" w:before="240" w:line="276" w:lineRule="auto"/>
        <w:rPr>
          <w:rFonts w:ascii="Roboto" w:cs="Roboto" w:eastAsia="Roboto" w:hAnsi="Roboto"/>
        </w:rPr>
      </w:pPr>
      <w:r w:rsidDel="00000000" w:rsidR="00000000" w:rsidRPr="00000000">
        <w:rPr>
          <w:rFonts w:ascii="Roboto" w:cs="Roboto" w:eastAsia="Roboto" w:hAnsi="Roboto"/>
          <w:rtl w:val="0"/>
        </w:rPr>
        <w:t xml:space="preserve">Similar legislation has been adopted in </w:t>
      </w:r>
      <w:r w:rsidDel="00000000" w:rsidR="00000000" w:rsidRPr="00000000">
        <w:rPr>
          <w:rFonts w:ascii="Roboto" w:cs="Roboto" w:eastAsia="Roboto" w:hAnsi="Roboto"/>
          <w:rtl w:val="0"/>
        </w:rPr>
        <w:t xml:space="preserve">5 counties, 17 cities</w:t>
      </w:r>
      <w:r w:rsidDel="00000000" w:rsidR="00000000" w:rsidRPr="00000000">
        <w:rPr>
          <w:rFonts w:ascii="Roboto" w:cs="Roboto" w:eastAsia="Roboto" w:hAnsi="Roboto"/>
          <w:rtl w:val="0"/>
        </w:rPr>
        <w:t xml:space="preserve">, and 1 state (New Jersey).  </w:t>
      </w:r>
    </w:p>
    <w:p w:rsidR="00000000" w:rsidDel="00000000" w:rsidP="00000000" w:rsidRDefault="00000000" w:rsidRPr="00000000" w14:paraId="0000000B">
      <w:pPr>
        <w:spacing w:after="240" w:before="24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Instructions</w:t>
      </w:r>
    </w:p>
    <w:p w:rsidR="00000000" w:rsidDel="00000000" w:rsidP="00000000" w:rsidRDefault="00000000" w:rsidRPr="00000000" w14:paraId="0000000C">
      <w:pPr>
        <w:spacing w:after="240" w:before="240" w:lineRule="auto"/>
        <w:ind w:right="600"/>
        <w:rPr>
          <w:rFonts w:ascii="Roboto" w:cs="Roboto" w:eastAsia="Roboto" w:hAnsi="Roboto"/>
        </w:rPr>
      </w:pPr>
      <w:r w:rsidDel="00000000" w:rsidR="00000000" w:rsidRPr="00000000">
        <w:rPr>
          <w:rFonts w:ascii="Roboto" w:cs="Roboto" w:eastAsia="Roboto" w:hAnsi="Roboto"/>
          <w:rtl w:val="0"/>
        </w:rPr>
        <w:t xml:space="preserve">Read through the model legislation on the following pages from start to finish. Then revise the highlighted sections to fit your community's needs, incorporating relevant statistics, anecdotes, and other local details. Make note of the starred sections, where more specific guidance can be found. </w:t>
      </w:r>
    </w:p>
    <w:p w:rsidR="00000000" w:rsidDel="00000000" w:rsidP="00000000" w:rsidRDefault="00000000" w:rsidRPr="00000000" w14:paraId="0000000D">
      <w:pPr>
        <w:spacing w:after="240" w:before="240" w:line="276" w:lineRule="auto"/>
        <w:ind w:right="600"/>
        <w:rPr>
          <w:rFonts w:ascii="Roboto" w:cs="Roboto" w:eastAsia="Roboto" w:hAnsi="Roboto"/>
        </w:rPr>
      </w:pPr>
      <w:r w:rsidDel="00000000" w:rsidR="00000000" w:rsidRPr="00000000">
        <w:rPr>
          <w:rtl w:val="0"/>
        </w:rPr>
      </w:r>
    </w:p>
    <w:p w:rsidR="00000000" w:rsidDel="00000000" w:rsidP="00000000" w:rsidRDefault="00000000" w:rsidRPr="00000000" w14:paraId="0000000E">
      <w:pPr>
        <w:spacing w:after="240" w:before="240" w:line="276" w:lineRule="auto"/>
        <w:ind w:right="600"/>
        <w:rPr>
          <w:rFonts w:ascii="Roboto" w:cs="Roboto" w:eastAsia="Roboto" w:hAnsi="Roboto"/>
        </w:rPr>
      </w:pPr>
      <w:r w:rsidDel="00000000" w:rsidR="00000000" w:rsidRPr="00000000">
        <w:rPr>
          <w:rtl w:val="0"/>
        </w:rPr>
      </w:r>
    </w:p>
    <w:p w:rsidR="00000000" w:rsidDel="00000000" w:rsidP="00000000" w:rsidRDefault="00000000" w:rsidRPr="00000000" w14:paraId="0000000F">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276" w:lineRule="auto"/>
        <w:jc w:val="center"/>
        <w:rPr>
          <w:rFonts w:ascii="Roboto" w:cs="Roboto" w:eastAsia="Roboto" w:hAnsi="Roboto"/>
          <w:b w:val="1"/>
          <w:bCs w:val="1"/>
          <w:highlight w:val="yellow"/>
        </w:rPr>
      </w:pPr>
      <w:r w:rsidDel="00000000" w:rsidR="00000000" w:rsidRPr="00000000">
        <w:rPr>
          <w:rFonts w:ascii="Roboto" w:cs="Roboto" w:eastAsia="Roboto" w:hAnsi="Roboto"/>
          <w:b w:val="1"/>
          <w:bCs w:val="1"/>
          <w:highlight w:val="yellow"/>
          <w:rtl w:val="0"/>
        </w:rPr>
        <w:t xml:space="preserve">[LEGISLATION TITLE]</w:t>
      </w:r>
    </w:p>
    <w:p w:rsidR="00000000" w:rsidDel="00000000" w:rsidP="00000000" w:rsidRDefault="00000000" w:rsidRPr="00000000" w14:paraId="00000019">
      <w:pPr>
        <w:spacing w:before="20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Section 1. Findings</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highlight w:val="yellow"/>
        </w:rPr>
      </w:pPr>
      <w:r w:rsidDel="00000000" w:rsidR="00000000" w:rsidRPr="00000000">
        <w:rPr>
          <w:highlight w:val="yellow"/>
          <w:rtl w:val="0"/>
        </w:rPr>
        <w:t xml:space="preserve">State your city, county, or state’s mission in creating free, safe, and unimpeded access to public spaces, public services, and civic institutions.</w:t>
      </w:r>
    </w:p>
    <w:p w:rsidR="00000000" w:rsidDel="00000000" w:rsidP="00000000" w:rsidRDefault="00000000" w:rsidRPr="00000000" w14:paraId="0000001D">
      <w:pPr>
        <w:rPr>
          <w:highlight w:val="yellow"/>
        </w:rPr>
      </w:pPr>
      <w:r w:rsidDel="00000000" w:rsidR="00000000" w:rsidRPr="00000000">
        <w:rPr>
          <w:rtl w:val="0"/>
        </w:rPr>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Example: “As set forth in the preamble to the City Charter, the City’s mission is to improve the quality of urban life; to encourage the participation of all persons and all sectors in the affairs of the City; to enable municipal government to meet the needs of the people effectively and efficiently; to provide for accountability and ethics in public service; to foster social harmony and cohesion; and to assure equality of opportunity for every resident.”</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Example: “To further this mission, the City invests in and maintains substantial resources, including real and personal property, to support and administer duly authorized public programs such as health care, education, transportation, emergency response, housing, public safety, workforce and business development, and other essential municipal services. City facilities are critical access points relied upon by all residents, and preserving their safety, accessibility, and operational continuity, is a matter of practical necessity and fiscal responsibility.”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highlight w:val="yellow"/>
        </w:rPr>
      </w:pPr>
      <w:r w:rsidDel="00000000" w:rsidR="00000000" w:rsidRPr="00000000">
        <w:rPr>
          <w:highlight w:val="yellow"/>
          <w:rtl w:val="0"/>
        </w:rPr>
        <w:t xml:space="preserve">Describe the city, county, or state’s sanctuary jurisdiction status.</w:t>
      </w:r>
    </w:p>
    <w:p w:rsidR="00000000" w:rsidDel="00000000" w:rsidP="00000000" w:rsidRDefault="00000000" w:rsidRPr="00000000" w14:paraId="00000022">
      <w:pPr>
        <w:rPr>
          <w:highlight w:val="yellow"/>
        </w:rPr>
      </w:pPr>
      <w:r w:rsidDel="00000000" w:rsidR="00000000" w:rsidRPr="00000000">
        <w:rPr>
          <w:rtl w:val="0"/>
        </w:rPr>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Example: “City law has long prohibited City officials from using City resources to assist in the enforcement of federal immigration laws, except in narrowly defined circumstances. Consistent with the City’s mission, the purpose of that prohibition is to encourage the participation of all persons in the affairs of the City. To investigate and solve crimes, fight fires, provide emergency assistance, and deliver comprehensive public health programs, among other things, the City needs the cooperation and involvement of all City residents, regardless of citizenship status. If the City were to assist with the enforcement of federal immigration laws, including permitting the use of City property to conduct enforcement, it would unquestionably discourage that critical cooperation and involvement.”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highlight w:val="yellow"/>
        </w:rPr>
      </w:pPr>
      <w:r w:rsidDel="00000000" w:rsidR="00000000" w:rsidRPr="00000000">
        <w:rPr>
          <w:highlight w:val="yellow"/>
          <w:rtl w:val="0"/>
        </w:rPr>
        <w:t xml:space="preserve">Discuss the impacts of unlawful federal immigration enforcement activity on state, county, or city residents, including students, workers, and small businesses.</w:t>
      </w:r>
    </w:p>
    <w:p w:rsidR="00000000" w:rsidDel="00000000" w:rsidP="00000000" w:rsidRDefault="00000000" w:rsidRPr="00000000" w14:paraId="00000026">
      <w:pPr>
        <w:rPr>
          <w:highlight w:val="yellow"/>
        </w:rPr>
      </w:pPr>
      <w:r w:rsidDel="00000000" w:rsidR="00000000" w:rsidRPr="00000000">
        <w:rPr>
          <w:rtl w:val="0"/>
        </w:rPr>
      </w:r>
    </w:p>
    <w:p w:rsidR="00000000" w:rsidDel="00000000" w:rsidP="00000000" w:rsidRDefault="00000000" w:rsidRPr="00000000" w14:paraId="00000027">
      <w:pPr>
        <w:numPr>
          <w:ilvl w:val="0"/>
          <w:numId w:val="5"/>
        </w:numPr>
        <w:ind w:left="720" w:hanging="360"/>
      </w:pPr>
      <w:r w:rsidDel="00000000" w:rsidR="00000000" w:rsidRPr="00000000">
        <w:rPr>
          <w:rtl w:val="0"/>
        </w:rPr>
        <w:t xml:space="preserve">Example: “Substantial evidence from major cities across the country demonstrates that recent surges in immigration enforcement activity discourage participation in the affairs of those cities, which disrupts municipal operations, creates public health and safety risks, and depresses commercial activity. National surveys conducted by the Urban Institute found that roughly one in six adults in immigrant families avoided public programs or facilities because of immigration-related fears. Community-based organizations in cities experiencing recent immigration raids have reported reduced engagement in public life, with many residents unwilling to access essential services such as health care, libraries, and workforce centers, as well as public events.”</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5"/>
        </w:numPr>
        <w:ind w:left="720" w:hanging="360"/>
      </w:pPr>
      <w:r w:rsidDel="00000000" w:rsidR="00000000" w:rsidRPr="00000000">
        <w:rPr>
          <w:rtl w:val="0"/>
        </w:rPr>
        <w:t xml:space="preserve">Example from Southern California: “Following reports of increased immigration enforcement activity near medical sites, health clinics reported no-show rates climbing from approximately 9% to more than 30% with residents skipping medical appointments, vaccinations, and pharmacy visits. Los Angeles County’s main hospital reported that even threats of enforcement activity near the hospital discouraged access and thereby jeopardized community health. Also in Los Angeles County, St. John’s Community Health, a major nonprofit health-care provider, reported that immigration enforcement activity at a mobile clinic site caused immediate service interruptions.”</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5"/>
        </w:numPr>
        <w:ind w:left="720" w:hanging="360"/>
      </w:pPr>
      <w:r w:rsidDel="00000000" w:rsidR="00000000" w:rsidRPr="00000000">
        <w:rPr>
          <w:rtl w:val="0"/>
        </w:rPr>
        <w:t xml:space="preserve">Example: “Schools and programs serving youth have recently experienced similar disruptions. In Los Angeles, following reports of increased immigration enforcement near campuses, families avoided school events, including graduation ceremonies. In Chicago, federal activity near public school facilities prompted school lockdowns and the suspension of after-school activities, as families reported fear and confusion about the presence of federal agents on or near school campuses. At Chicago’s Funston Elementary School, students on the playground were rushed inside after federal agents deployed tear gas across the street, and recess was canceled for the day.”</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5"/>
        </w:numPr>
        <w:ind w:left="720" w:hanging="360"/>
      </w:pPr>
      <w:r w:rsidDel="00000000" w:rsidR="00000000" w:rsidRPr="00000000">
        <w:rPr>
          <w:rtl w:val="0"/>
        </w:rPr>
        <w:t xml:space="preserve">Example: “The Economic Policy Institute reported that intensified immigration enforcement increases workplace disruptions, employee turnover, and uncertainty for employers, with adverse spillover effects on local economies that depend on a stable workforce and consumer spending. A July 2025 study found that in California, recent surges in immigration enforcement had caused a sharper decline in workforce participation than any event in the past 40 years other than the Great Recession of 2008-09 and the COVID-19 pandemic. In Washington, D.C., officials observed that workers in neighborhoods impacted by increased immigration enforcement stopped reporting to job sites, adversely affecting the hospitality industry, tourism, and construction. These burdens translate into lost productivity for workers and businesses, and fiscal strain for local jurisdictions.”</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5"/>
        </w:numPr>
        <w:ind w:left="720" w:hanging="360"/>
      </w:pPr>
      <w:r w:rsidDel="00000000" w:rsidR="00000000" w:rsidRPr="00000000">
        <w:rPr>
          <w:rtl w:val="0"/>
        </w:rPr>
        <w:t xml:space="preserve">Example: “Recent increases in enforcement activity also have carried economic and operational consequences for local business owners, and ultimately local governments. News reports from Chicago’s Little Village and Back of the Yards neighborhoods have documented merchants locking their doors and shortening their hours during enforcement sweeps, leading to losses in sales, local tax receipts, and neighborhood vitality. In Los Angeles County, federal immigration actions destabilized businesses and disrupted county service delivery, leading the Board of Supervisors to declare a Local Emergency and to allocate resources to restore community access and economic stability.”</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numPr>
          <w:ilvl w:val="0"/>
          <w:numId w:val="5"/>
        </w:numPr>
        <w:ind w:left="720" w:hanging="360"/>
      </w:pPr>
      <w:r w:rsidDel="00000000" w:rsidR="00000000" w:rsidRPr="00000000">
        <w:rPr>
          <w:rtl w:val="0"/>
        </w:rPr>
        <w:t xml:space="preserve">Example: “Immigration enforcement on City property also generates acute public-safety risks. The City has devoted substantial resources to enhancing public safety and as a result has seen a recent 30% drop in crime. Effective public safety requires the cooperation of all City residents, one third of whom are immigrants. The City’s efforts to reduce crime and protect public safety will be undermined if federal officers are operating on City property, blurring the lines between local policing and immigration enforcement, and thereby discouraging cooperation with local law enforcement.”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highlight w:val="yellow"/>
        </w:rPr>
      </w:pPr>
      <w:r w:rsidDel="00000000" w:rsidR="00000000" w:rsidRPr="00000000">
        <w:rPr>
          <w:highlight w:val="yellow"/>
          <w:rtl w:val="0"/>
        </w:rPr>
        <w:t xml:space="preserve">Describe the narrow scope of the legislation.</w:t>
      </w:r>
    </w:p>
    <w:p w:rsidR="00000000" w:rsidDel="00000000" w:rsidP="00000000" w:rsidRDefault="00000000" w:rsidRPr="00000000" w14:paraId="00000034">
      <w:pPr>
        <w:rPr>
          <w:highlight w:val="yellow"/>
        </w:rPr>
      </w:pPr>
      <w:r w:rsidDel="00000000" w:rsidR="00000000" w:rsidRPr="00000000">
        <w:rPr>
          <w:rtl w:val="0"/>
        </w:rPr>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Example: “The legislation is not intended to and does not amend any existing City laws governing permitting or licensing of City property. The ordinance is not intended to and does not interfere with or obstruct lawful immigration enforcement. Federal immigration enforcement officers regularly carry out immigration enforcement in the City. The purpose of this ordinance is to preserve City resources for programs and services that further the City’s mission and to ensure that the use of City property does not undermine that mission by discouraging residents’ participation in the City’s affairs. City Departments are encouraged to provide training to their employees on the scope and limits of this ordinance.”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Section 2. Restrictions on Use of [</w:t>
      </w:r>
      <w:r w:rsidDel="00000000" w:rsidR="00000000" w:rsidRPr="00000000">
        <w:rPr>
          <w:b w:val="1"/>
          <w:bCs w:val="1"/>
          <w:highlight w:val="yellow"/>
          <w:rtl w:val="0"/>
        </w:rPr>
        <w:t xml:space="preserve">State, County, or City</w:t>
      </w:r>
      <w:r w:rsidDel="00000000" w:rsidR="00000000" w:rsidRPr="00000000">
        <w:rPr>
          <w:b w:val="1"/>
          <w:bCs w:val="1"/>
          <w:rtl w:val="0"/>
        </w:rPr>
        <w:t xml:space="preserve">] Property</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No person or entity may use real and personal property belonging to, or subject to the control of, any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department, board, commission, or other authority (hereinafter “the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unless the use shall only be used to advance or promote public programs or other purposes authorized by the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and the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has which have been duly authorized the use by the appropriate public agency.</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No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official, employee, department, board, commission, or other authority shall authorize the use of any real or personal property subject to the control or jurisdiction of the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if the use will disrupt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operations or discourage access to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services, unless the use furthers a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purpose.</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The use of real or personal property to assist in the enforcement of Federal immigration law is not a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purpose.</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The use of real or personal property shall mean the right to occupy or use the property, to the exclusion of others, and shall include but not be limited to a license, permit to enter, use permit, or other similar instrument. It shall not mean non-exclusive access or use of the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’s property traditionally open and available to the public where that access or use is on the same terms as members of the public and does not disrupt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operations.</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Upon finding that a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official or employee has engaged in activities prohibited by this section, that official or employee shall be subject to disciplinary action in accordance with the applicable provisions of the Charter.</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Nothing in this section shall be construed to interfere with or inhibit any exercise of the constitutionally protected rights of freedom of speech or assembly or to prevent the use of, or access to,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property as required by law.</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The </w:t>
      </w:r>
      <w:r w:rsidDel="00000000" w:rsidR="00000000" w:rsidRPr="00000000">
        <w:rPr>
          <w:b w:val="1"/>
          <w:bCs w:val="1"/>
          <w:rtl w:val="0"/>
        </w:rPr>
        <w:t xml:space="preserve">[</w:t>
      </w:r>
      <w:r w:rsidDel="00000000" w:rsidR="00000000" w:rsidRPr="00000000">
        <w:rPr>
          <w:b w:val="1"/>
          <w:bCs w:val="1"/>
          <w:highlight w:val="yellow"/>
          <w:rtl w:val="0"/>
        </w:rPr>
        <w:t xml:space="preserve">State Attorney General, County Counsel, or City Attorney</w:t>
      </w:r>
      <w:r w:rsidDel="00000000" w:rsidR="00000000" w:rsidRPr="00000000">
        <w:rPr>
          <w:b w:val="1"/>
          <w:bCs w:val="1"/>
          <w:rtl w:val="0"/>
        </w:rPr>
        <w:t xml:space="preserve">]</w:t>
      </w:r>
      <w:r w:rsidDel="00000000" w:rsidR="00000000" w:rsidRPr="00000000">
        <w:rPr>
          <w:rtl w:val="0"/>
        </w:rPr>
        <w:t xml:space="preserve"> is authorized to bring a cause of action against any person or entity that violates this section by using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property for an unlawful or unauthorized purpose.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Section 3. No Conflict with Federal or State Law</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Nothing in this legislation shall be interpreted or applied to create any requirement, power, or duty in conflict with any federal or state law.</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Section 4. No Conflict with Existing Property Interest or Agreements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Nothing in this legislation shall be interpreted or applied to affect or interfere with any property interest or agreement, including but not limited to amendments to those agreements, deeds, easements, leases, licenses, or permits, to occupy or use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real or personal property that is entered into or effective before the effective date of this ordinance.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Section 5. Undertaking for the General Welfare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In enacting and implementing this legislation, the </w:t>
      </w:r>
      <w:r w:rsidDel="00000000" w:rsidR="00000000" w:rsidRPr="00000000">
        <w:rPr>
          <w:b w:val="1"/>
          <w:bCs w:val="1"/>
          <w:rtl w:val="0"/>
        </w:rPr>
        <w:t xml:space="preserve">[</w:t>
      </w:r>
      <w:r w:rsidDel="00000000" w:rsidR="00000000" w:rsidRPr="00000000">
        <w:rPr>
          <w:b w:val="1"/>
          <w:bCs w:val="1"/>
          <w:highlight w:val="yellow"/>
          <w:rtl w:val="0"/>
        </w:rPr>
        <w:t xml:space="preserve">State, County, or City</w:t>
      </w:r>
      <w:r w:rsidDel="00000000" w:rsidR="00000000" w:rsidRPr="00000000">
        <w:rPr>
          <w:b w:val="1"/>
          <w:bCs w:val="1"/>
          <w:rtl w:val="0"/>
        </w:rPr>
        <w:t xml:space="preserve">]</w:t>
      </w:r>
      <w:r w:rsidDel="00000000" w:rsidR="00000000" w:rsidRPr="00000000">
        <w:rPr>
          <w:rtl w:val="0"/>
        </w:rPr>
        <w:t xml:space="preserve"> is assuming an undertaking only to promote the general welfare. It is not assuming, nor is it imposing on its officers and employees, an obligation for breach of which it is liable in money damages to any person who claims that such breach proximately caused injury.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Section 6. Severability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rFonts w:ascii="Roboto" w:cs="Roboto" w:eastAsia="Roboto" w:hAnsi="Roboto"/>
          <w:b w:val="1"/>
          <w:bCs w:val="1"/>
        </w:rPr>
      </w:pPr>
      <w:r w:rsidDel="00000000" w:rsidR="00000000" w:rsidRPr="00000000">
        <w:rPr>
          <w:rtl w:val="0"/>
        </w:rPr>
        <w:t xml:space="preserve">If any section, subsection, sentence, clause, phrase, or word  of this legislation, or any application thereof to any person or circumstance, is held to be invalid or unconstitutional by a decision of a court of competent jurisdiction, such decision shall not affect the validity of the remaining portions or applications of the ordinance. The </w:t>
      </w:r>
      <w:r w:rsidDel="00000000" w:rsidR="00000000" w:rsidRPr="00000000">
        <w:rPr>
          <w:b w:val="1"/>
          <w:bCs w:val="1"/>
          <w:rtl w:val="0"/>
        </w:rPr>
        <w:t xml:space="preserve">[</w:t>
      </w:r>
      <w:r w:rsidDel="00000000" w:rsidR="00000000" w:rsidRPr="00000000">
        <w:rPr>
          <w:b w:val="1"/>
          <w:bCs w:val="1"/>
          <w:highlight w:val="yellow"/>
          <w:rtl w:val="0"/>
        </w:rPr>
        <w:t xml:space="preserve">State Legislature, Board of Supervisors, or City Council</w:t>
      </w:r>
      <w:r w:rsidDel="00000000" w:rsidR="00000000" w:rsidRPr="00000000">
        <w:rPr>
          <w:b w:val="1"/>
          <w:bCs w:val="1"/>
          <w:rtl w:val="0"/>
        </w:rPr>
        <w:t xml:space="preserve">]</w:t>
      </w:r>
      <w:r w:rsidDel="00000000" w:rsidR="00000000" w:rsidRPr="00000000">
        <w:rPr>
          <w:rtl w:val="0"/>
        </w:rPr>
        <w:t xml:space="preserve"> hereby declares that it would have passed this ordinance and each and every section, subsection, sentence, clause, phrase, and word not declared invalid or unconstitutional without regard to whether any other portion of this ordinance or application thereof would be subsequently declared invalid or unconstitutional.</w:t>
      </w:r>
      <w:r w:rsidDel="00000000" w:rsidR="00000000" w:rsidRPr="00000000">
        <w:rPr>
          <w:rtl w:val="0"/>
        </w:rPr>
      </w:r>
    </w:p>
    <w:sectPr>
      <w:headerReference r:id="rId6" w:type="default"/>
      <w:pgSz w:h="15840" w:w="12240" w:orient="portrait"/>
      <w:pgMar w:bottom="633.6" w:top="63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ICE FREE ZONES LEGISLATION TEMPLATE </w:t>
    </w:r>
  </w:p>
  <w:p w:rsidR="00000000" w:rsidDel="00000000" w:rsidP="00000000" w:rsidRDefault="00000000" w:rsidRPr="00000000" w14:paraId="00000056">
    <w:pPr>
      <w:spacing w:line="276" w:lineRule="auto"/>
      <w:jc w:val="center"/>
      <w:rPr>
        <w:b w:val="1"/>
        <w:bCs w:val="1"/>
      </w:rPr>
    </w:pPr>
    <w:r w:rsidDel="00000000" w:rsidR="00000000" w:rsidRPr="00000000">
      <w:rPr>
        <w:b w:val="1"/>
        <w:bCs w:val="1"/>
        <w:rtl w:val="0"/>
      </w:rPr>
      <w:t xml:space="preserve">[Based on 2025 San Francisco Ordinance </w:t>
    </w:r>
    <w:hyperlink r:id="rId1">
      <w:r w:rsidDel="00000000" w:rsidR="00000000" w:rsidRPr="00000000">
        <w:rPr>
          <w:b w:val="1"/>
          <w:bCs w:val="1"/>
          <w:color w:val="1155cc"/>
          <w:u w:val="single"/>
          <w:rtl w:val="0"/>
        </w:rPr>
        <w:t xml:space="preserve">File #</w:t>
      </w:r>
    </w:hyperlink>
    <w:hyperlink r:id="rId2">
      <w:r w:rsidDel="00000000" w:rsidR="00000000" w:rsidRPr="00000000">
        <w:rPr>
          <w:b w:val="1"/>
          <w:bCs w:val="1"/>
          <w:color w:val="1155cc"/>
          <w:highlight w:val="white"/>
          <w:u w:val="single"/>
          <w:rtl w:val="0"/>
        </w:rPr>
        <w:t xml:space="preserve">251224</w:t>
      </w:r>
    </w:hyperlink>
    <w:r w:rsidDel="00000000" w:rsidR="00000000" w:rsidRPr="00000000">
      <w:rPr>
        <w:b w:val="1"/>
        <w:bCs w:val="1"/>
        <w:rtl w:val="0"/>
      </w:rPr>
      <w:t xml:space="preserve">]</w:t>
    </w:r>
  </w:p>
  <w:p w:rsidR="00000000" w:rsidDel="00000000" w:rsidP="00000000" w:rsidRDefault="00000000" w:rsidRPr="00000000" w14:paraId="00000057">
    <w:pPr>
      <w:spacing w:line="276" w:lineRule="auto"/>
      <w:jc w:val="cente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8">
    <w:pPr>
      <w:spacing w:line="276" w:lineRule="auto"/>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9">
    <w:pPr>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sfgov.legistar.com/LegislationDetail.aspx?ID=7781543&amp;GUID=B760BCE2-8A27-4964-9464-7F525AA6AE52&amp;Options=ID%7CText%7C&amp;Search=city+property" TargetMode="External"/><Relationship Id="rId2" Type="http://schemas.openxmlformats.org/officeDocument/2006/relationships/hyperlink" Target="https://sfgov.legistar.com/LegislationDetail.aspx?ID=7781543&amp;GUID=B760BCE2-8A27-4964-9464-7F525AA6AE52&amp;Options=ID%7CText%7C&amp;Search=city+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